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8180" cy="84582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81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40pt;height:66.6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u w:val="single"/>
        </w:rPr>
        <w:t xml:space="preserve">т  </w:t>
      </w:r>
      <w:r>
        <w:rPr>
          <w:sz w:val="28"/>
          <w:szCs w:val="28"/>
          <w:u w:val="single"/>
        </w:rPr>
        <w:t xml:space="preserve">01</w:t>
      </w:r>
      <w:r>
        <w:rPr>
          <w:sz w:val="28"/>
          <w:szCs w:val="28"/>
          <w:u w:val="single"/>
        </w:rPr>
        <w:t xml:space="preserve">.08.</w:t>
      </w:r>
      <w:r>
        <w:rPr>
          <w:sz w:val="28"/>
          <w:szCs w:val="28"/>
          <w:u w:val="single"/>
        </w:rPr>
        <w:t xml:space="preserve">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76</w:t>
      </w:r>
      <w:r>
        <w:rPr>
          <w:sz w:val="28"/>
          <w:szCs w:val="28"/>
          <w:u w:val="single"/>
        </w:rPr>
      </w:r>
    </w:p>
    <w:tbl>
      <w:tblPr>
        <w:tblStyle w:val="71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2"/>
      </w:tblGrid>
      <w:tr>
        <w:tblPrEx/>
        <w:trPr>
          <w:trHeight w:val="993"/>
        </w:trPr>
        <w:tc>
          <w:tcPr>
            <w:tcW w:w="6062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9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Об утверждении Программы по проверке готовности к </w:t>
            </w:r>
            <w:r>
              <w:rPr>
                <w:sz w:val="28"/>
                <w:szCs w:val="28"/>
              </w:rPr>
              <w:t xml:space="preserve">отопительному сезону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годов на территории МО «Фалилеевское сельское поселение»</w:t>
            </w:r>
            <w:bookmarkEnd w:id="0"/>
            <w:r>
              <w:rPr>
                <w:sz w:val="28"/>
                <w:szCs w:val="28"/>
              </w:rPr>
            </w:r>
          </w:p>
          <w:p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 теплоснабжении» (далее – Закон №</w:t>
      </w:r>
      <w:r>
        <w:rPr>
          <w:sz w:val="28"/>
          <w:szCs w:val="28"/>
        </w:rPr>
        <w:t xml:space="preserve">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по проверке готовности к отопительному сезо</w:t>
      </w:r>
      <w:r>
        <w:rPr>
          <w:sz w:val="28"/>
          <w:szCs w:val="28"/>
        </w:rPr>
        <w:t xml:space="preserve">ну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годов на территории МО «Фалилеевское сельское поселение»</w:t>
      </w:r>
      <w:r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</w:r>
    </w:p>
    <w:p>
      <w:pPr>
        <w:pStyle w:val="71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данное </w:t>
      </w:r>
      <w:r>
        <w:rPr>
          <w:sz w:val="28"/>
          <w:szCs w:val="28"/>
        </w:rPr>
        <w:t xml:space="preserve"> расп</w:t>
      </w:r>
      <w:r>
        <w:rPr>
          <w:sz w:val="28"/>
          <w:szCs w:val="28"/>
        </w:rPr>
        <w:t xml:space="preserve">оряжение </w:t>
      </w:r>
      <w:r>
        <w:rPr>
          <w:sz w:val="28"/>
          <w:szCs w:val="28"/>
        </w:rPr>
        <w:t xml:space="preserve">на официальном сайте МО «Фалилеевское сельское  поселение» </w:t>
      </w:r>
      <w:hyperlink r:id="rId12" w:tooltip="http://www.falileevo.ru" w:history="1">
        <w:r>
          <w:rPr>
            <w:rStyle w:val="701"/>
            <w:sz w:val="28"/>
            <w:szCs w:val="28"/>
            <w:lang w:val="en-US"/>
          </w:rPr>
          <w:t xml:space="preserve">www</w:t>
        </w:r>
        <w:r>
          <w:rPr>
            <w:rStyle w:val="701"/>
            <w:sz w:val="28"/>
            <w:szCs w:val="28"/>
          </w:rPr>
          <w:t xml:space="preserve">.</w:t>
        </w:r>
        <w:r>
          <w:rPr>
            <w:rStyle w:val="701"/>
            <w:sz w:val="28"/>
            <w:szCs w:val="28"/>
            <w:lang w:val="en-US"/>
          </w:rPr>
          <w:t xml:space="preserve">falileevo</w:t>
        </w:r>
        <w:r>
          <w:rPr>
            <w:rStyle w:val="701"/>
            <w:sz w:val="28"/>
            <w:szCs w:val="28"/>
          </w:rPr>
          <w:t xml:space="preserve">.</w:t>
        </w:r>
        <w:r>
          <w:rPr>
            <w:rStyle w:val="701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 постановления оставляю за собой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</w:t>
      </w:r>
      <w:r>
        <w:rPr>
          <w:sz w:val="28"/>
          <w:szCs w:val="28"/>
        </w:rPr>
        <w:t xml:space="preserve">поселение»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С.Г. Филиппова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Исп.</w:t>
      </w:r>
      <w:r>
        <w:t xml:space="preserve"> Кивилева О.А</w:t>
      </w:r>
      <w:r>
        <w:t xml:space="preserve">.</w:t>
      </w:r>
      <w:r/>
    </w:p>
    <w:p>
      <w:pPr>
        <w:jc w:val="both"/>
      </w:pPr>
      <w:r>
        <w:t xml:space="preserve">66-430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РОГРАММА </w:t>
      </w:r>
      <w:r>
        <w:rPr>
          <w:b/>
          <w:sz w:val="28"/>
          <w:szCs w:val="28"/>
        </w:rPr>
      </w:r>
    </w:p>
    <w:p>
      <w:pPr>
        <w:pStyle w:val="71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проверке </w:t>
      </w:r>
      <w:r>
        <w:rPr>
          <w:b/>
          <w:sz w:val="28"/>
          <w:szCs w:val="28"/>
        </w:rPr>
        <w:t xml:space="preserve">готовности к отопительному </w:t>
      </w:r>
      <w:r>
        <w:rPr>
          <w:b/>
          <w:sz w:val="28"/>
          <w:szCs w:val="28"/>
        </w:rPr>
        <w:t xml:space="preserve">сезону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-20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МО «Фалилеевское сельское</w:t>
      </w:r>
      <w:r>
        <w:rPr>
          <w:b/>
          <w:sz w:val="28"/>
          <w:szCs w:val="28"/>
        </w:rPr>
        <w:t xml:space="preserve"> поселение»</w:t>
      </w:r>
      <w:r>
        <w:rPr>
          <w:b/>
          <w:sz w:val="28"/>
          <w:szCs w:val="28"/>
        </w:rPr>
      </w:r>
    </w:p>
    <w:p>
      <w:pPr>
        <w:ind w:left="56" w:firstLine="715"/>
        <w:jc w:val="center"/>
        <w:spacing w:before="179" w:line="433" w:lineRule="exact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</w:rPr>
        <w:t xml:space="preserve">Общие положения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Программа по проверке готовности к отопительному периоду (далее - Программа) разработана в соответствии Федеральным законом от 27.07.2010 № 190-ФЗ «О теплоснабжении» (дале</w:t>
      </w:r>
      <w:r>
        <w:rPr>
          <w:sz w:val="28"/>
          <w:szCs w:val="28"/>
        </w:rPr>
        <w:t xml:space="preserve">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Проверки готовности </w:t>
      </w:r>
      <w:r>
        <w:rPr>
          <w:sz w:val="28"/>
          <w:szCs w:val="28"/>
        </w:rPr>
        <w:t xml:space="preserve">потребителей тепловой энергии, </w:t>
      </w:r>
      <w:r>
        <w:rPr>
          <w:sz w:val="28"/>
          <w:szCs w:val="28"/>
        </w:rPr>
        <w:t xml:space="preserve">теплосетевых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теплоснабжающих</w:t>
      </w:r>
      <w:r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 к отопительному периоду осуществляются комисси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утверждённой главой администрации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284" w:right="452" w:firstLine="61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284" w:right="452" w:firstLine="61"/>
        <w:jc w:val="center"/>
        <w:shd w:val="clear" w:color="auto" w:fill="ffffff"/>
        <w:rPr>
          <w:b/>
          <w:bCs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 xml:space="preserve">2.</w:t>
      </w:r>
      <w:r>
        <w:rPr>
          <w:b/>
          <w:bCs/>
          <w:spacing w:val="-7"/>
          <w:sz w:val="28"/>
          <w:szCs w:val="28"/>
        </w:rPr>
        <w:t xml:space="preserve">Проведение</w:t>
      </w:r>
      <w:r>
        <w:rPr>
          <w:b/>
          <w:bCs/>
          <w:spacing w:val="-7"/>
          <w:sz w:val="28"/>
          <w:szCs w:val="28"/>
        </w:rPr>
        <w:t xml:space="preserve"> проверки по оценке готовности потребителей тепловой энергии к отопительному сезону.</w:t>
      </w:r>
      <w:r>
        <w:rPr>
          <w:b/>
          <w:bCs/>
          <w:spacing w:val="-7"/>
          <w:sz w:val="28"/>
          <w:szCs w:val="28"/>
        </w:rPr>
      </w:r>
    </w:p>
    <w:p>
      <w:pPr>
        <w:pStyle w:val="7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19"/>
        <w:numPr>
          <w:ilvl w:val="0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Объекты, подлежащие проверке</w:t>
      </w:r>
      <w:r>
        <w:rPr>
          <w:sz w:val="28"/>
          <w:szCs w:val="28"/>
        </w:rPr>
        <w:t xml:space="preserve">, указаны в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Программе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9"/>
        <w:numPr>
          <w:ilvl w:val="0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pStyle w:val="719"/>
        <w:numPr>
          <w:ilvl w:val="0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оценки готовности потребителей тепловой энергии к отопительному периоду комиссией должны быть проверены:</w:t>
      </w:r>
      <w:r>
        <w:rPr>
          <w:sz w:val="28"/>
          <w:szCs w:val="28"/>
        </w:rPr>
      </w:r>
    </w:p>
    <w:p>
      <w:pPr>
        <w:pStyle w:val="7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  <w:r>
        <w:rPr>
          <w:sz w:val="28"/>
          <w:szCs w:val="28"/>
        </w:rPr>
        <w:t xml:space="preserve">3.1.  У</w:t>
      </w:r>
      <w:r>
        <w:rPr>
          <w:sz w:val="28"/>
          <w:szCs w:val="28"/>
        </w:rPr>
        <w:t xml:space="preserve"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роведение промывки об</w:t>
      </w:r>
      <w:r>
        <w:rPr>
          <w:sz w:val="28"/>
          <w:szCs w:val="28"/>
        </w:rPr>
        <w:t xml:space="preserve">орудования и коммуникаций </w:t>
      </w:r>
      <w:r>
        <w:rPr>
          <w:sz w:val="28"/>
          <w:szCs w:val="28"/>
        </w:rPr>
        <w:t xml:space="preserve">тепло</w:t>
      </w:r>
      <w:r>
        <w:rPr>
          <w:sz w:val="28"/>
          <w:szCs w:val="28"/>
        </w:rPr>
        <w:t xml:space="preserve">потребляющих</w:t>
      </w:r>
      <w:r>
        <w:rPr>
          <w:sz w:val="28"/>
          <w:szCs w:val="28"/>
        </w:rPr>
        <w:t xml:space="preserve"> установок;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азработка эксплуатационных режимов, а также мероприятий по их внедрению;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ыполнение плана ремонтных работ и качество их выполнения;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остояние тепловых сетей, принадлежащих потребителю тепловой энергии;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остояние трубопроводов, арматуры и тепловой изоляции в пределах тепловых пунктов;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аличие и работоспособность приборов учёта, работоспособность автоматических регуляторов при их наличии;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аботоспособность защиты систем теплопотребления;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аличие паспортов </w:t>
      </w:r>
      <w:r>
        <w:rPr>
          <w:sz w:val="28"/>
          <w:szCs w:val="28"/>
        </w:rPr>
        <w:t xml:space="preserve">теплопотребляющих</w:t>
      </w:r>
      <w:r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тсутствие прямых соединений оборудования тепловых пунктов с водопроводом и канализацией;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лотность оборудования тепловых пунктов;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аличие пломб на расчётных шайбах и соплах элеваторов;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тсутствие задолженности за поставленные тепловую энергию (мощность), теплоноситель;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Наличие собственных и (или) привлечение ремонтных бригад и обеспеченность их материально-техническими ресурсами для осуществления надлежащей эксплуатации </w:t>
      </w:r>
      <w:r>
        <w:rPr>
          <w:sz w:val="28"/>
          <w:szCs w:val="28"/>
        </w:rPr>
        <w:t xml:space="preserve">теплопотребляющих</w:t>
      </w:r>
      <w:r>
        <w:rPr>
          <w:sz w:val="28"/>
          <w:szCs w:val="28"/>
        </w:rPr>
        <w:t xml:space="preserve"> установок;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Проведение испытания оборудования </w:t>
      </w:r>
      <w:r>
        <w:rPr>
          <w:sz w:val="28"/>
          <w:szCs w:val="28"/>
        </w:rPr>
        <w:t xml:space="preserve">теплопотребляющих</w:t>
      </w:r>
      <w:r>
        <w:rPr>
          <w:sz w:val="28"/>
          <w:szCs w:val="28"/>
        </w:rPr>
        <w:t xml:space="preserve"> установок на плотность и прочность;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Надёжность теплоснабжения потребителей тепловой энергии с учётом климатических условий в соответствии с критериями, приведёнными в приложении № 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 оценки готовности к отопительному сезону», утверждённых приказом Министерства энергетики РФ от 12.03.2013 года № 103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9"/>
        <w:numPr>
          <w:ilvl w:val="0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14, и 17 пункта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8"/>
        <w:ind w:left="660" w:right="452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18"/>
        <w:ind w:left="660" w:right="452"/>
        <w:jc w:val="center"/>
        <w:shd w:val="clear" w:color="auto" w:fill="ffffff"/>
        <w:rPr>
          <w:b/>
          <w:bCs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pacing w:val="-7"/>
          <w:sz w:val="28"/>
          <w:szCs w:val="28"/>
        </w:rPr>
        <w:t xml:space="preserve">Проведение</w:t>
      </w:r>
      <w:r>
        <w:rPr>
          <w:b/>
          <w:bCs/>
          <w:spacing w:val="-7"/>
          <w:sz w:val="28"/>
          <w:szCs w:val="28"/>
        </w:rPr>
        <w:t xml:space="preserve"> проверки по оценке готовности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теплосетевых</w:t>
      </w:r>
      <w:r>
        <w:rPr>
          <w:b/>
          <w:bCs/>
          <w:spacing w:val="-7"/>
          <w:sz w:val="28"/>
          <w:szCs w:val="28"/>
        </w:rPr>
        <w:t xml:space="preserve"> 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теплоснабжающих организаций </w:t>
      </w:r>
      <w:r>
        <w:rPr>
          <w:b/>
          <w:bCs/>
          <w:spacing w:val="-7"/>
          <w:sz w:val="28"/>
          <w:szCs w:val="28"/>
        </w:rPr>
        <w:t xml:space="preserve"> к отопительному </w:t>
      </w:r>
      <w:r>
        <w:rPr>
          <w:b/>
          <w:bCs/>
          <w:spacing w:val="-7"/>
          <w:sz w:val="28"/>
          <w:szCs w:val="28"/>
        </w:rPr>
        <w:t xml:space="preserve">сезону</w:t>
      </w:r>
      <w:r>
        <w:rPr>
          <w:b/>
          <w:bCs/>
          <w:spacing w:val="-7"/>
          <w:sz w:val="28"/>
          <w:szCs w:val="28"/>
        </w:rPr>
        <w:t xml:space="preserve">.</w:t>
      </w:r>
      <w:r>
        <w:rPr>
          <w:b/>
          <w:bCs/>
          <w:spacing w:val="-7"/>
          <w:sz w:val="28"/>
          <w:szCs w:val="28"/>
        </w:rPr>
      </w:r>
    </w:p>
    <w:p>
      <w:pPr>
        <w:pStyle w:val="719"/>
        <w:ind w:left="66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Объекты, подлежащие проверке</w:t>
      </w:r>
      <w:r>
        <w:rPr>
          <w:sz w:val="28"/>
          <w:szCs w:val="28"/>
        </w:rPr>
        <w:t xml:space="preserve"> – системы теплоснабжения МО «Фалилеевское сельское поселение»</w:t>
      </w:r>
      <w:r>
        <w:rPr>
          <w:sz w:val="28"/>
          <w:szCs w:val="28"/>
        </w:rPr>
      </w:r>
    </w:p>
    <w:p>
      <w:pPr>
        <w:pStyle w:val="71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проверки —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ind w:left="36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Arial CYR"/>
          <w:sz w:val="28"/>
          <w:szCs w:val="28"/>
        </w:rPr>
        <w:t xml:space="preserve">В </w:t>
      </w:r>
      <w:r>
        <w:rPr>
          <w:rFonts w:eastAsia="Arial CYR"/>
          <w:sz w:val="28"/>
          <w:szCs w:val="28"/>
        </w:rPr>
        <w:t xml:space="preserve">ц</w:t>
      </w:r>
      <w:r>
        <w:rPr>
          <w:rFonts w:eastAsia="Arial CYR"/>
          <w:sz w:val="28"/>
          <w:szCs w:val="28"/>
        </w:rPr>
        <w:t xml:space="preserve">елях о</w:t>
      </w:r>
      <w:r>
        <w:rPr>
          <w:rFonts w:eastAsia="Arial CYR"/>
          <w:sz w:val="28"/>
          <w:szCs w:val="28"/>
        </w:rPr>
        <w:t xml:space="preserve">ценки готовности </w:t>
      </w:r>
      <w:r>
        <w:rPr>
          <w:rFonts w:eastAsia="Arial CYR"/>
          <w:sz w:val="28"/>
          <w:szCs w:val="28"/>
        </w:rPr>
        <w:t xml:space="preserve">теплоснабжающей  организации</w:t>
      </w:r>
      <w:r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 xml:space="preserve">(ООО «Мир техники»)</w:t>
      </w:r>
      <w:r>
        <w:rPr>
          <w:rFonts w:eastAsia="Arial CYR"/>
          <w:sz w:val="28"/>
          <w:szCs w:val="28"/>
        </w:rPr>
        <w:t xml:space="preserve"> к отопительному периоду комиссией должны быть проверены в отношении данной организации: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3.1. Н</w:t>
      </w:r>
      <w:r>
        <w:rPr>
          <w:rFonts w:eastAsia="Arial CYR"/>
          <w:sz w:val="28"/>
          <w:szCs w:val="28"/>
        </w:rPr>
        <w:t xml:space="preserve">аличие соглашения об управлении системой теплоснабжения, заключенного в порядке, установленном </w:t>
      </w:r>
      <w:r>
        <w:rPr>
          <w:rFonts w:eastAsia="Arial CYR"/>
          <w:color w:val="000000"/>
          <w:sz w:val="28"/>
          <w:szCs w:val="28"/>
        </w:rPr>
        <w:t xml:space="preserve">Законом</w:t>
      </w:r>
      <w:r>
        <w:rPr>
          <w:rFonts w:eastAsia="Arial CYR"/>
          <w:sz w:val="28"/>
          <w:szCs w:val="28"/>
        </w:rPr>
        <w:t xml:space="preserve"> о теплоснабжении;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3.2. Г</w:t>
      </w:r>
      <w:r>
        <w:rPr>
          <w:rFonts w:eastAsia="Arial CYR"/>
          <w:sz w:val="28"/>
          <w:szCs w:val="28"/>
        </w:rPr>
        <w:t xml:space="preserve">отовность к выполнению графика тепловых нагрузок, поддержанию температурного графика, утвержденного схемой теплоснабжения;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3</w:t>
      </w:r>
      <w:r>
        <w:rPr>
          <w:rFonts w:eastAsia="Arial CYR"/>
          <w:sz w:val="28"/>
          <w:szCs w:val="28"/>
        </w:rPr>
        <w:t xml:space="preserve">. С</w:t>
      </w:r>
      <w:r>
        <w:rPr>
          <w:rFonts w:eastAsia="Arial CYR"/>
          <w:sz w:val="28"/>
          <w:szCs w:val="28"/>
        </w:rPr>
        <w:t xml:space="preserve">облюдение критериев надежности теплоснабжения, установленных техническими регламентами;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3.4. Н</w:t>
      </w:r>
      <w:r>
        <w:rPr>
          <w:rFonts w:eastAsia="Arial CYR"/>
          <w:sz w:val="28"/>
          <w:szCs w:val="28"/>
        </w:rPr>
        <w:t xml:space="preserve">аличие нормативных запасов топлива на источниках тепловой энергии;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5</w:t>
      </w:r>
      <w:r>
        <w:rPr>
          <w:rFonts w:eastAsia="Arial CYR"/>
          <w:sz w:val="28"/>
          <w:szCs w:val="28"/>
        </w:rPr>
        <w:t xml:space="preserve">.Ф</w:t>
      </w:r>
      <w:r>
        <w:rPr>
          <w:rFonts w:eastAsia="Arial CYR"/>
          <w:sz w:val="28"/>
          <w:szCs w:val="28"/>
        </w:rPr>
        <w:t xml:space="preserve">ункционирование</w:t>
      </w:r>
      <w:r>
        <w:rPr>
          <w:rFonts w:eastAsia="Arial CYR"/>
          <w:sz w:val="28"/>
          <w:szCs w:val="28"/>
        </w:rPr>
        <w:t xml:space="preserve"> эксплуатационной, диспетчерской и аварийной служб, а именно: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укомплектованность указанных служб персоналом;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обес</w:t>
      </w:r>
      <w:r>
        <w:rPr>
          <w:rFonts w:eastAsia="Arial CYR"/>
          <w:sz w:val="28"/>
          <w:szCs w:val="28"/>
        </w:rPr>
        <w:t xml:space="preserve">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6</w:t>
      </w:r>
      <w:r>
        <w:rPr>
          <w:rFonts w:eastAsia="Arial CYR"/>
          <w:sz w:val="28"/>
          <w:szCs w:val="28"/>
        </w:rPr>
        <w:t xml:space="preserve">. П</w:t>
      </w:r>
      <w:r>
        <w:rPr>
          <w:rFonts w:eastAsia="Arial CYR"/>
          <w:sz w:val="28"/>
          <w:szCs w:val="28"/>
        </w:rPr>
        <w:t xml:space="preserve">роведение наладки принадлежащих им тепловых сетей;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7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рганизация контроля режимов потребления тепловой энергии;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8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беспечение качества теплоносителей;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9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рганизация коммерческого учета приобретаемой и реализуемой тепловой энергии;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10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>
        <w:rPr>
          <w:rFonts w:eastAsia="Arial CYR"/>
          <w:color w:val="000000"/>
          <w:sz w:val="28"/>
          <w:szCs w:val="28"/>
        </w:rPr>
        <w:t xml:space="preserve">Законом</w:t>
      </w:r>
      <w:r>
        <w:rPr>
          <w:rFonts w:eastAsia="Arial CYR"/>
          <w:sz w:val="28"/>
          <w:szCs w:val="28"/>
        </w:rPr>
        <w:t xml:space="preserve"> о теплоснабжении;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11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беспечение безаварийной работы объектов теплоснабжения и надежного теплоснабжения потребителей тепловой энергии, а именно: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готовность систем приема и разгрузки топлива, </w:t>
      </w:r>
      <w:r>
        <w:rPr>
          <w:rFonts w:eastAsia="Arial CYR"/>
          <w:sz w:val="28"/>
          <w:szCs w:val="28"/>
        </w:rPr>
        <w:t xml:space="preserve">топливоприготовления</w:t>
      </w:r>
      <w:r>
        <w:rPr>
          <w:rFonts w:eastAsia="Arial CYR"/>
          <w:sz w:val="28"/>
          <w:szCs w:val="28"/>
        </w:rPr>
        <w:t xml:space="preserve"> и топливоподачи;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соблюдение водно-химического режима;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наличие расчетов допустимого времени устранения аварийных нарушений теплоснабжения жилых домов;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наличие порядка ли</w:t>
      </w:r>
      <w:r>
        <w:rPr>
          <w:rFonts w:eastAsia="Arial CYR"/>
          <w:sz w:val="28"/>
          <w:szCs w:val="28"/>
        </w:rPr>
        <w:t xml:space="preserve">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проведение гидравлических и тепловых испытаний тепловых сетей;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выполнение планового графика ремонта тепловых сетей и источников тепловой энергии;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наличие договоров поставки топлива, не допускающих перебоев поставки и снижения установленных нормативов запасов топлива;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12</w:t>
      </w:r>
      <w:r>
        <w:rPr>
          <w:rFonts w:eastAsia="Arial CYR"/>
          <w:sz w:val="28"/>
          <w:szCs w:val="28"/>
        </w:rPr>
        <w:t xml:space="preserve">. Н</w:t>
      </w:r>
      <w:r>
        <w:rPr>
          <w:rFonts w:eastAsia="Arial CYR"/>
          <w:sz w:val="28"/>
          <w:szCs w:val="28"/>
        </w:rPr>
        <w:t xml:space="preserve">аличие документов, определяющих разграничение эксплуатационной ответственности между потребителями тепловой энергии и </w:t>
      </w:r>
      <w:r>
        <w:rPr>
          <w:rFonts w:eastAsia="Arial CYR"/>
          <w:sz w:val="28"/>
          <w:szCs w:val="28"/>
        </w:rPr>
        <w:t xml:space="preserve">теплоснабжающей  организацией</w:t>
      </w:r>
      <w:r>
        <w:rPr>
          <w:rFonts w:eastAsia="Arial CYR"/>
          <w:sz w:val="28"/>
          <w:szCs w:val="28"/>
        </w:rPr>
        <w:t xml:space="preserve">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13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тсутствие не выполненных в установленные сроки предписаний,</w:t>
      </w:r>
      <w:r>
        <w:rPr>
          <w:rFonts w:eastAsia="Arial CYR"/>
          <w:sz w:val="28"/>
          <w:szCs w:val="28"/>
        </w:rPr>
        <w:t xml:space="preserve">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14</w:t>
      </w:r>
      <w:r>
        <w:rPr>
          <w:rFonts w:eastAsia="Arial CYR"/>
          <w:sz w:val="28"/>
          <w:szCs w:val="28"/>
        </w:rPr>
        <w:t xml:space="preserve">. Р</w:t>
      </w:r>
      <w:r>
        <w:rPr>
          <w:rFonts w:eastAsia="Arial CYR"/>
          <w:sz w:val="28"/>
          <w:szCs w:val="28"/>
        </w:rPr>
        <w:t xml:space="preserve">аботоспособность автоматических регуляторов при их наличии.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обстоятельствам, при несоблюдении которых в отношении </w:t>
      </w:r>
      <w:r>
        <w:rPr>
          <w:sz w:val="28"/>
          <w:szCs w:val="28"/>
        </w:rPr>
        <w:t xml:space="preserve">теплоснабжающих и </w:t>
      </w:r>
      <w:r>
        <w:rPr>
          <w:sz w:val="28"/>
          <w:szCs w:val="28"/>
        </w:rPr>
        <w:t xml:space="preserve">теплосетевых</w:t>
      </w:r>
      <w:r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составляется акт с приложением Перечня с указанием сроков устранения замечаний, относятся несоблюдение требований, указанных в </w:t>
      </w:r>
      <w:r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 и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«Правил».</w:t>
      </w:r>
      <w:r>
        <w:rPr>
          <w:rFonts w:eastAsia="Arial CYR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tabs>
          <w:tab w:val="left" w:pos="9900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  <w:t xml:space="preserve">Приложение</w:t>
      </w:r>
      <w:r>
        <w:rPr>
          <w:bCs/>
        </w:rPr>
        <w:t xml:space="preserve"> № 1</w:t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  <w:t xml:space="preserve">  к Программе</w:t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center"/>
        <w:tabs>
          <w:tab w:val="right" w:pos="9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Объекты, подлежащие проверке готовности к отопительному сезону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-20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годов:</w:t>
      </w:r>
      <w:r>
        <w:rPr>
          <w:b/>
          <w:bCs/>
          <w:sz w:val="28"/>
          <w:szCs w:val="28"/>
        </w:rPr>
      </w:r>
    </w:p>
    <w:p>
      <w:pPr>
        <w:ind w:right="202"/>
        <w:tabs>
          <w:tab w:val="right" w:pos="9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02"/>
        <w:tabs>
          <w:tab w:val="right" w:pos="9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</w:t>
      </w:r>
      <w:r>
        <w:rPr>
          <w:b/>
          <w:bCs/>
          <w:sz w:val="28"/>
          <w:szCs w:val="28"/>
        </w:rPr>
        <w:t xml:space="preserve">отребител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тепловой энергии </w:t>
      </w:r>
      <w:r>
        <w:rPr>
          <w:b/>
          <w:bCs/>
          <w:sz w:val="28"/>
          <w:szCs w:val="28"/>
        </w:rPr>
      </w:r>
    </w:p>
    <w:p>
      <w:pPr>
        <w:ind w:right="202" w:firstLine="720"/>
        <w:jc w:val="center"/>
        <w:tabs>
          <w:tab w:val="right" w:pos="9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637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388"/>
        <w:gridCol w:w="991"/>
      </w:tblGrid>
      <w:tr>
        <w:tblPrEx/>
        <w:trPr>
          <w:trHeight w:val="619"/>
        </w:trPr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ind w:left="94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Объекты</w:t>
            </w:r>
            <w:r>
              <w:rPr>
                <w:rStyle w:val="724"/>
                <w:rFonts w:cs="Times New Roman"/>
              </w:rPr>
            </w:r>
          </w:p>
          <w:p>
            <w:pPr>
              <w:pStyle w:val="721"/>
              <w:ind w:left="941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«Мир техники»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Всего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1.Социальный жилищный фонд: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2"/>
              <w:spacing w:line="276" w:lineRule="auto"/>
              <w:widowControl/>
              <w:rPr>
                <w:rStyle w:val="723"/>
                <w:rFonts w:cs="Times New Roman"/>
                <w:b w:val="0"/>
                <w:bCs/>
              </w:rPr>
            </w:pPr>
            <w:r>
              <w:rPr>
                <w:rStyle w:val="723"/>
                <w:rFonts w:cs="Times New Roman"/>
                <w:bCs/>
                <w:szCs w:val="22"/>
              </w:rPr>
              <w:t xml:space="preserve">1.1.Многоквартирные дома</w:t>
            </w:r>
            <w:r>
              <w:rPr>
                <w:rStyle w:val="723"/>
                <w:rFonts w:cs="Times New Roman"/>
                <w:b w:val="0"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3"/>
                <w:bCs/>
              </w:rPr>
            </w:pPr>
            <w:r>
              <w:rPr>
                <w:rStyle w:val="724"/>
                <w:rFonts w:cs="Times New Roman"/>
                <w:szCs w:val="22"/>
              </w:rPr>
              <w:t xml:space="preserve">6</w:t>
            </w:r>
            <w:r>
              <w:rPr>
                <w:rStyle w:val="723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2"/>
              <w:spacing w:line="276" w:lineRule="auto"/>
              <w:widowControl/>
              <w:rPr>
                <w:rStyle w:val="723"/>
                <w:rFonts w:cs="Times New Roman"/>
                <w:b w:val="0"/>
                <w:bCs/>
              </w:rPr>
            </w:pPr>
            <w:r>
              <w:rPr>
                <w:rStyle w:val="723"/>
                <w:rFonts w:cs="Times New Roman"/>
                <w:bCs/>
                <w:szCs w:val="22"/>
              </w:rPr>
              <w:t xml:space="preserve">2. </w:t>
            </w:r>
            <w:r>
              <w:rPr>
                <w:rStyle w:val="723"/>
                <w:rFonts w:cs="Times New Roman"/>
                <w:bCs/>
                <w:szCs w:val="22"/>
              </w:rPr>
              <w:t xml:space="preserve">Специализированный жилищный фонд</w:t>
            </w:r>
            <w:r>
              <w:rPr>
                <w:rStyle w:val="723"/>
                <w:rFonts w:cs="Times New Roman"/>
                <w:bCs/>
                <w:szCs w:val="22"/>
              </w:rPr>
              <w:t xml:space="preserve">:</w:t>
            </w:r>
            <w:r>
              <w:rPr>
                <w:rStyle w:val="723"/>
                <w:rFonts w:cs="Times New Roman"/>
                <w:b w:val="0"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3"/>
                <w:bCs/>
              </w:rPr>
            </w:pPr>
            <w:r>
              <w:rPr>
                <w:bCs/>
              </w:rPr>
            </w:r>
            <w:r>
              <w:rPr>
                <w:rStyle w:val="723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2</w:t>
            </w:r>
            <w:r>
              <w:rPr>
                <w:rStyle w:val="724"/>
                <w:rFonts w:cs="Times New Roman"/>
                <w:szCs w:val="22"/>
              </w:rPr>
              <w:t xml:space="preserve">.1. Общежития 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0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2</w:t>
            </w:r>
            <w:r>
              <w:rPr>
                <w:rStyle w:val="724"/>
                <w:rFonts w:cs="Times New Roman"/>
                <w:szCs w:val="22"/>
              </w:rPr>
              <w:t xml:space="preserve">.</w:t>
            </w:r>
            <w:r>
              <w:rPr>
                <w:rStyle w:val="724"/>
                <w:rFonts w:cs="Times New Roman"/>
                <w:szCs w:val="22"/>
              </w:rPr>
              <w:t xml:space="preserve">2</w:t>
            </w:r>
            <w:r>
              <w:rPr>
                <w:rStyle w:val="724"/>
                <w:rFonts w:cs="Times New Roman"/>
                <w:szCs w:val="22"/>
              </w:rPr>
              <w:t xml:space="preserve">. Прочие здания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</w:rPr>
              <w:t xml:space="preserve">0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3</w:t>
            </w:r>
            <w:r>
              <w:rPr>
                <w:rStyle w:val="724"/>
                <w:rFonts w:cs="Times New Roman"/>
                <w:szCs w:val="22"/>
              </w:rPr>
              <w:t xml:space="preserve">. Лечебные учреждения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0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4.Учреждения образования: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4</w:t>
            </w:r>
            <w:r>
              <w:rPr>
                <w:rStyle w:val="724"/>
                <w:rFonts w:cs="Times New Roman"/>
                <w:szCs w:val="22"/>
              </w:rPr>
              <w:t xml:space="preserve">.</w:t>
            </w:r>
            <w:r>
              <w:rPr>
                <w:rStyle w:val="724"/>
                <w:rFonts w:cs="Times New Roman"/>
                <w:szCs w:val="22"/>
              </w:rPr>
              <w:t xml:space="preserve">1.</w:t>
            </w:r>
            <w:r>
              <w:rPr>
                <w:rStyle w:val="724"/>
                <w:rFonts w:cs="Times New Roman"/>
                <w:szCs w:val="22"/>
              </w:rPr>
              <w:t xml:space="preserve"> Школы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1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4.2.</w:t>
            </w:r>
            <w:r>
              <w:rPr>
                <w:rStyle w:val="724"/>
                <w:rFonts w:cs="Times New Roman"/>
                <w:szCs w:val="22"/>
              </w:rPr>
              <w:t xml:space="preserve"> Учебные заведения (ВУЗ, техникум, ПУ и др.)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0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5. Детские учреждения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1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6</w:t>
            </w:r>
            <w:r>
              <w:rPr>
                <w:rStyle w:val="724"/>
                <w:rFonts w:cs="Times New Roman"/>
                <w:szCs w:val="22"/>
              </w:rPr>
              <w:t xml:space="preserve">. Прочие общественные здания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  <w:spacing w:val="30"/>
              </w:rPr>
            </w:pPr>
            <w:r>
              <w:rPr>
                <w:rStyle w:val="724"/>
                <w:rFonts w:cs="Times New Roman"/>
                <w:spacing w:val="30"/>
                <w:szCs w:val="22"/>
              </w:rPr>
              <w:t xml:space="preserve">1</w:t>
            </w:r>
            <w:r>
              <w:rPr>
                <w:rStyle w:val="724"/>
                <w:rFonts w:cs="Times New Roman"/>
                <w:spacing w:val="30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Общее количество всех зданий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  <w:spacing w:val="30"/>
              </w:rPr>
            </w:pPr>
            <w:r>
              <w:rPr>
                <w:rStyle w:val="724"/>
                <w:rFonts w:cs="Times New Roman"/>
                <w:spacing w:val="30"/>
                <w:szCs w:val="22"/>
              </w:rPr>
              <w:t xml:space="preserve">9</w:t>
            </w:r>
            <w:r>
              <w:rPr>
                <w:rStyle w:val="724"/>
                <w:rFonts w:cs="Times New Roman"/>
                <w:spacing w:val="30"/>
              </w:rPr>
            </w:r>
          </w:p>
        </w:tc>
      </w:tr>
    </w:tbl>
    <w:p>
      <w:pPr>
        <w:ind w:right="19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19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2.Теплоснабжающие организации</w:t>
      </w:r>
      <w:r>
        <w:rPr>
          <w:b/>
          <w:bCs/>
          <w:sz w:val="28"/>
          <w:szCs w:val="28"/>
        </w:rPr>
      </w:r>
    </w:p>
    <w:p>
      <w:pPr>
        <w:ind w:right="19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2"/>
        <w:tblW w:w="0" w:type="auto"/>
        <w:tblLook w:val="04A0" w:firstRow="1" w:lastRow="0" w:firstColumn="1" w:lastColumn="0" w:noHBand="0" w:noVBand="1"/>
      </w:tblPr>
      <w:tblGrid>
        <w:gridCol w:w="510"/>
        <w:gridCol w:w="2859"/>
        <w:gridCol w:w="4536"/>
      </w:tblGrid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</w:pPr>
            <w:r>
              <w:t xml:space="preserve">1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>
              <w:t xml:space="preserve">Отопительные котельные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  <w:rPr>
                <w:rStyle w:val="724"/>
              </w:rPr>
            </w:pPr>
            <w:r>
              <w:rPr>
                <w:rStyle w:val="724"/>
              </w:rPr>
              <w:t xml:space="preserve">1 </w:t>
            </w:r>
            <w:r>
              <w:rPr>
                <w:rStyle w:val="724"/>
              </w:rPr>
            </w:r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>
              <w:t xml:space="preserve">муниципальные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</w:pPr>
            <w:r>
              <w:t xml:space="preserve">1.1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>
              <w:t xml:space="preserve">муниципальные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  <w:rPr>
                <w:rStyle w:val="724"/>
              </w:rPr>
            </w:pPr>
            <w:r>
              <w:rPr>
                <w:rStyle w:val="724"/>
              </w:rPr>
              <w:t xml:space="preserve">Блок-модульная котельная</w:t>
            </w:r>
            <w:r>
              <w:rPr>
                <w:rStyle w:val="724"/>
              </w:rPr>
            </w:r>
          </w:p>
          <w:p>
            <w:pPr>
              <w:ind w:right="19"/>
              <w:rPr>
                <w:sz w:val="24"/>
                <w:szCs w:val="24"/>
              </w:rPr>
            </w:pPr>
            <w:r>
              <w:rPr>
                <w:rStyle w:val="724"/>
              </w:rPr>
              <w:t xml:space="preserve"> ООО «Мир-техники»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</w:pPr>
            <w:r/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</w:pPr>
            <w:r/>
            <w:r/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</w:pPr>
            <w:r>
              <w:t xml:space="preserve">2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>
              <w:t xml:space="preserve">Тепловые сети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  <w:rPr>
                <w:rStyle w:val="724"/>
              </w:rPr>
            </w:pPr>
            <w:r>
              <w:rPr>
                <w:rStyle w:val="724"/>
              </w:rPr>
              <w:t xml:space="preserve">2.1</w:t>
            </w:r>
            <w:r>
              <w:rPr>
                <w:rStyle w:val="724"/>
              </w:rPr>
            </w:r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rStyle w:val="724"/>
              </w:rPr>
              <w:t xml:space="preserve">муниципальные</w:t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</w:pPr>
            <w:r>
              <w:t xml:space="preserve">Д. Фалилеево</w:t>
            </w:r>
            <w:r/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9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notePr/>
      <w:endnotePr/>
      <w:type w:val="nextPage"/>
      <w:pgSz w:w="11907" w:h="16840" w:orient="portrait"/>
      <w:pgMar w:top="1276" w:right="851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0"/>
      <w:numFmt w:val="decimal"/>
      <w:isLgl w:val="false"/>
      <w:suff w:val="tab"/>
      <w:lvlText w:val="%1.%2."/>
      <w:lvlJc w:val="left"/>
      <w:pPr>
        <w:ind w:left="1080" w:hanging="48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56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6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48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56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6600" w:leader="none"/>
        </w:tabs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7"/>
    <w:link w:val="700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14"/>
    <w:uiPriority w:val="99"/>
  </w:style>
  <w:style w:type="character" w:styleId="45">
    <w:name w:val="Footer Char"/>
    <w:basedOn w:val="697"/>
    <w:link w:val="716"/>
    <w:uiPriority w:val="99"/>
  </w:style>
  <w:style w:type="character" w:styleId="47">
    <w:name w:val="Caption Char"/>
    <w:basedOn w:val="710"/>
    <w:link w:val="716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7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paragraph" w:styleId="688">
    <w:name w:val="Heading 1"/>
    <w:basedOn w:val="687"/>
    <w:next w:val="687"/>
    <w:qFormat/>
    <w:pPr>
      <w:keepNext/>
      <w:outlineLvl w:val="0"/>
    </w:pPr>
    <w:rPr>
      <w:sz w:val="24"/>
    </w:rPr>
  </w:style>
  <w:style w:type="paragraph" w:styleId="689">
    <w:name w:val="Heading 2"/>
    <w:basedOn w:val="687"/>
    <w:next w:val="687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90">
    <w:name w:val="Heading 3"/>
    <w:basedOn w:val="687"/>
    <w:next w:val="687"/>
    <w:qFormat/>
    <w:pPr>
      <w:keepNext/>
      <w:outlineLvl w:val="2"/>
    </w:pPr>
    <w:rPr>
      <w:sz w:val="40"/>
    </w:rPr>
  </w:style>
  <w:style w:type="paragraph" w:styleId="691">
    <w:name w:val="Heading 4"/>
    <w:basedOn w:val="687"/>
    <w:next w:val="687"/>
    <w:qFormat/>
    <w:pPr>
      <w:keepNext/>
      <w:outlineLvl w:val="3"/>
    </w:pPr>
    <w:rPr>
      <w:b/>
      <w:sz w:val="32"/>
      <w:u w:val="single"/>
    </w:rPr>
  </w:style>
  <w:style w:type="paragraph" w:styleId="692">
    <w:name w:val="Heading 5"/>
    <w:basedOn w:val="687"/>
    <w:next w:val="687"/>
    <w:qFormat/>
    <w:pPr>
      <w:jc w:val="right"/>
      <w:keepNext/>
      <w:outlineLvl w:val="4"/>
    </w:pPr>
    <w:rPr>
      <w:sz w:val="32"/>
    </w:rPr>
  </w:style>
  <w:style w:type="paragraph" w:styleId="693">
    <w:name w:val="Heading 6"/>
    <w:basedOn w:val="687"/>
    <w:next w:val="687"/>
    <w:qFormat/>
    <w:pPr>
      <w:jc w:val="center"/>
      <w:keepNext/>
      <w:outlineLvl w:val="5"/>
    </w:pPr>
    <w:rPr>
      <w:sz w:val="32"/>
    </w:rPr>
  </w:style>
  <w:style w:type="paragraph" w:styleId="694">
    <w:name w:val="Heading 7"/>
    <w:basedOn w:val="687"/>
    <w:next w:val="687"/>
    <w:qFormat/>
    <w:pPr>
      <w:keepNext/>
      <w:outlineLvl w:val="6"/>
    </w:pPr>
    <w:rPr>
      <w:sz w:val="32"/>
    </w:rPr>
  </w:style>
  <w:style w:type="paragraph" w:styleId="695">
    <w:name w:val="Heading 8"/>
    <w:basedOn w:val="687"/>
    <w:next w:val="687"/>
    <w:qFormat/>
    <w:pPr>
      <w:ind w:left="4395"/>
      <w:keepNext/>
      <w:outlineLvl w:val="7"/>
    </w:pPr>
    <w:rPr>
      <w:sz w:val="28"/>
    </w:rPr>
  </w:style>
  <w:style w:type="paragraph" w:styleId="696">
    <w:name w:val="Heading 9"/>
    <w:basedOn w:val="687"/>
    <w:next w:val="687"/>
    <w:qFormat/>
    <w:pPr>
      <w:jc w:val="center"/>
      <w:keepNext/>
      <w:outlineLvl w:val="8"/>
    </w:pPr>
    <w:rPr>
      <w:sz w:val="48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>
    <w:name w:val="Title"/>
    <w:basedOn w:val="687"/>
    <w:qFormat/>
    <w:pPr>
      <w:jc w:val="center"/>
    </w:pPr>
    <w:rPr>
      <w:sz w:val="56"/>
    </w:rPr>
  </w:style>
  <w:style w:type="character" w:styleId="701">
    <w:name w:val="Hyperlink"/>
    <w:rPr>
      <w:color w:val="0000ff"/>
      <w:u w:val="single"/>
    </w:rPr>
  </w:style>
  <w:style w:type="character" w:styleId="702">
    <w:name w:val="FollowedHyperlink"/>
    <w:rPr>
      <w:color w:val="800080"/>
      <w:u w:val="single"/>
    </w:rPr>
  </w:style>
  <w:style w:type="paragraph" w:styleId="703">
    <w:name w:val="Body Text"/>
    <w:basedOn w:val="687"/>
    <w:rPr>
      <w:sz w:val="32"/>
    </w:rPr>
  </w:style>
  <w:style w:type="paragraph" w:styleId="704">
    <w:name w:val="Body Text 2"/>
    <w:basedOn w:val="687"/>
    <w:rPr>
      <w:sz w:val="28"/>
    </w:rPr>
  </w:style>
  <w:style w:type="paragraph" w:styleId="705">
    <w:name w:val="Document Map"/>
    <w:basedOn w:val="687"/>
    <w:semiHidden/>
    <w:pPr>
      <w:shd w:val="clear" w:color="auto" w:fill="000080"/>
    </w:pPr>
    <w:rPr>
      <w:rFonts w:ascii="Tahoma" w:hAnsi="Tahoma"/>
    </w:rPr>
  </w:style>
  <w:style w:type="paragraph" w:styleId="706">
    <w:name w:val="Block Text"/>
    <w:basedOn w:val="687"/>
    <w:pPr>
      <w:ind w:left="-1276" w:right="-663"/>
    </w:pPr>
    <w:rPr>
      <w:b/>
      <w:sz w:val="52"/>
    </w:rPr>
  </w:style>
  <w:style w:type="paragraph" w:styleId="707">
    <w:name w:val="Body Text 3"/>
    <w:basedOn w:val="687"/>
    <w:rPr>
      <w:sz w:val="24"/>
    </w:rPr>
  </w:style>
  <w:style w:type="paragraph" w:styleId="708">
    <w:name w:val="Body Text Indent"/>
    <w:basedOn w:val="687"/>
    <w:pPr>
      <w:ind w:left="1418"/>
    </w:pPr>
    <w:rPr>
      <w:b/>
      <w:sz w:val="48"/>
    </w:rPr>
  </w:style>
  <w:style w:type="paragraph" w:styleId="709">
    <w:name w:val="Body Text Indent 2"/>
    <w:basedOn w:val="687"/>
    <w:pPr>
      <w:ind w:left="660"/>
    </w:pPr>
    <w:rPr>
      <w:sz w:val="28"/>
    </w:rPr>
  </w:style>
  <w:style w:type="paragraph" w:styleId="710">
    <w:name w:val="Caption"/>
    <w:basedOn w:val="687"/>
    <w:next w:val="687"/>
    <w:qFormat/>
    <w:pPr>
      <w:ind w:right="-425"/>
      <w:jc w:val="center"/>
    </w:pPr>
    <w:rPr>
      <w:b/>
      <w:bCs/>
      <w:sz w:val="28"/>
    </w:rPr>
  </w:style>
  <w:style w:type="paragraph" w:styleId="711">
    <w:name w:val="Body Text Indent 3"/>
    <w:basedOn w:val="687"/>
    <w:pPr>
      <w:ind w:right="-425" w:firstLine="720"/>
      <w:jc w:val="both"/>
    </w:pPr>
    <w:rPr>
      <w:b/>
      <w:bCs/>
      <w:sz w:val="28"/>
    </w:rPr>
  </w:style>
  <w:style w:type="table" w:styleId="712">
    <w:name w:val="Table Grid"/>
    <w:basedOn w:val="69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3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714">
    <w:name w:val="Header"/>
    <w:basedOn w:val="687"/>
    <w:link w:val="715"/>
    <w:pPr>
      <w:tabs>
        <w:tab w:val="center" w:pos="4677" w:leader="none"/>
        <w:tab w:val="right" w:pos="9355" w:leader="none"/>
      </w:tabs>
    </w:pPr>
  </w:style>
  <w:style w:type="character" w:styleId="715" w:customStyle="1">
    <w:name w:val="Верхний колонтитул Знак"/>
    <w:basedOn w:val="697"/>
    <w:link w:val="714"/>
  </w:style>
  <w:style w:type="paragraph" w:styleId="716">
    <w:name w:val="Footer"/>
    <w:basedOn w:val="687"/>
    <w:link w:val="717"/>
    <w:uiPriority w:val="99"/>
    <w:pPr>
      <w:tabs>
        <w:tab w:val="center" w:pos="4677" w:leader="none"/>
        <w:tab w:val="right" w:pos="9355" w:leader="none"/>
      </w:tabs>
    </w:pPr>
  </w:style>
  <w:style w:type="character" w:styleId="717" w:customStyle="1">
    <w:name w:val="Нижний колонтитул Знак"/>
    <w:basedOn w:val="697"/>
    <w:link w:val="716"/>
    <w:uiPriority w:val="99"/>
  </w:style>
  <w:style w:type="paragraph" w:styleId="718">
    <w:name w:val="List Paragraph"/>
    <w:basedOn w:val="687"/>
    <w:uiPriority w:val="34"/>
    <w:qFormat/>
    <w:pPr>
      <w:contextualSpacing/>
      <w:ind w:left="720"/>
    </w:pPr>
    <w:rPr>
      <w:sz w:val="24"/>
      <w:szCs w:val="24"/>
    </w:rPr>
  </w:style>
  <w:style w:type="paragraph" w:styleId="719">
    <w:name w:val="Normal (Web)"/>
    <w:basedOn w:val="68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720" w:customStyle="1">
    <w:name w:val="Style9"/>
    <w:basedOn w:val="687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paragraph" w:styleId="721" w:customStyle="1">
    <w:name w:val="Style10"/>
    <w:basedOn w:val="687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paragraph" w:styleId="722" w:customStyle="1">
    <w:name w:val="Style11"/>
    <w:basedOn w:val="687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character" w:styleId="723" w:customStyle="1">
    <w:name w:val="Font Style15"/>
    <w:uiPriority w:val="99"/>
    <w:rPr>
      <w:rFonts w:ascii="Times New Roman" w:hAnsi="Times New Roman"/>
      <w:b/>
      <w:sz w:val="22"/>
    </w:rPr>
  </w:style>
  <w:style w:type="character" w:styleId="724" w:customStyle="1">
    <w:name w:val="Font Style16"/>
    <w:uiPriority w:val="99"/>
    <w:rPr>
      <w:rFonts w:ascii="Times New Roman" w:hAnsi="Times New Roman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0C31C-2C70-45BC-9C97-774FDC40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4</cp:revision>
  <dcterms:created xsi:type="dcterms:W3CDTF">2024-08-08T05:58:00Z</dcterms:created>
  <dcterms:modified xsi:type="dcterms:W3CDTF">2025-04-03T11:31:04Z</dcterms:modified>
</cp:coreProperties>
</file>