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«Кингисеппский муниципальный район»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</w:t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18.12</w:t>
      </w:r>
      <w:r>
        <w:rPr>
          <w:sz w:val="24"/>
          <w:u w:val="single"/>
        </w:rPr>
        <w:t xml:space="preserve">.20</w:t>
      </w:r>
      <w:r>
        <w:rPr>
          <w:sz w:val="24"/>
          <w:u w:val="single"/>
        </w:rPr>
        <w:t xml:space="preserve">2</w:t>
      </w:r>
      <w:r>
        <w:rPr>
          <w:sz w:val="24"/>
          <w:u w:val="single"/>
        </w:rPr>
        <w:t xml:space="preserve">3</w:t>
      </w:r>
      <w:r>
        <w:rPr>
          <w:sz w:val="24"/>
          <w:u w:val="single"/>
        </w:rPr>
        <w:t xml:space="preserve"> 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180</w:t>
      </w:r>
      <w:r>
        <w:rPr>
          <w:sz w:val="24"/>
          <w:u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Порядка хранения, сбора, обезвреживания,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транспортировки и захоронения (утилизации)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биологических отходов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муниципального образования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«Фалилеевское сельское поселение»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Во исполнение Фе</w:t>
      </w:r>
      <w:r>
        <w:rPr>
          <w:sz w:val="24"/>
          <w:szCs w:val="24"/>
        </w:rPr>
        <w:t xml:space="preserve">деральных законов от 10.01.2002 № 7-ФЗ «Об охране окружающей среды», от 24.06.1998 № 89-ФЗ «Об отходах производства и потребления», от 06.10.2003 года № 131-ФЗ «Об общих принципах организации местного самоуправления в Российской Федерации», согласно Приказ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Минсельхоза России от 26.10.2020 N 626 «Об утверждении Ветеринарных правил перемещения, хранения, переработки и утилизации биологических отходов» в целях</w:t>
      </w:r>
      <w:r>
        <w:rPr>
          <w:sz w:val="24"/>
          <w:szCs w:val="24"/>
        </w:rPr>
        <w:t xml:space="preserve"> регулирования отношений, возникших в области обращения с отходами производства и потребления,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руководствуя</w:t>
      </w:r>
      <w:r>
        <w:rPr>
          <w:sz w:val="24"/>
          <w:szCs w:val="24"/>
        </w:rPr>
        <w:t xml:space="preserve">сь Уставом муниципального образования «Фалилеевское сельское поселение»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Постановляю: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1. Утвердить Порядок хранения, сбора, обезвреживания, транспортировки и захоронения (утилизации) биологическ</w:t>
      </w:r>
      <w:r>
        <w:rPr>
          <w:sz w:val="24"/>
          <w:szCs w:val="24"/>
        </w:rPr>
        <w:t xml:space="preserve">их отходов на территории муниципального образования «Фалилеевское сельское поселение» </w:t>
      </w:r>
      <w:r>
        <w:rPr>
          <w:sz w:val="24"/>
          <w:szCs w:val="24"/>
        </w:rPr>
        <w:t xml:space="preserve"> (приложение 1).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2. Настоящее Постановление вступает в силу с момента подписания </w:t>
      </w:r>
      <w:r>
        <w:rPr>
          <w:sz w:val="24"/>
          <w:szCs w:val="24"/>
        </w:rPr>
        <w:t xml:space="preserve">и подлежит размещению </w:t>
      </w:r>
      <w:r>
        <w:rPr>
          <w:sz w:val="24"/>
          <w:szCs w:val="24"/>
        </w:rPr>
        <w:t xml:space="preserve">на официальном сайте адм</w:t>
      </w:r>
      <w:r>
        <w:rPr>
          <w:sz w:val="24"/>
          <w:szCs w:val="24"/>
        </w:rPr>
        <w:t xml:space="preserve">инистрации </w:t>
      </w:r>
      <w:r>
        <w:rPr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3. Контроль за исполнением настоящего постановления оставляю за собой.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МО «Фалилеевское сельское поселение»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С.Г. Филиппова</w:t>
      </w:r>
      <w:r>
        <w:rPr>
          <w:color w:val="000000"/>
          <w:sz w:val="24"/>
          <w:szCs w:val="24"/>
        </w:rPr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«Фалилеевское сельское поселение»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от 18.12.2023  года № </w:t>
      </w:r>
      <w:r>
        <w:rPr>
          <w:sz w:val="24"/>
          <w:szCs w:val="24"/>
        </w:rPr>
        <w:t xml:space="preserve">180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хранения, сбора, обезвреживания, транспортировки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захоронения (утилизации) биологических отходов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«Фалилеевское сельское поселение»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положения</w:t>
      </w:r>
      <w:r>
        <w:rPr>
          <w:b/>
          <w:sz w:val="24"/>
          <w:szCs w:val="24"/>
        </w:rPr>
      </w:r>
    </w:p>
    <w:p>
      <w:pPr>
        <w:ind w:left="69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1.1. Настоящий Порядок хранения, сбора, обезвреживания, транспортировки и захоронения (утилизации) биологических отходов на территории </w:t>
      </w:r>
      <w:r>
        <w:rPr>
          <w:sz w:val="24"/>
          <w:szCs w:val="24"/>
        </w:rPr>
        <w:t xml:space="preserve"> муниципального образования «Фалилеевское сельское поселение» </w:t>
      </w:r>
      <w:r>
        <w:rPr>
          <w:sz w:val="24"/>
          <w:szCs w:val="24"/>
        </w:rPr>
        <w:t xml:space="preserve">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r>
        <w:rPr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sz w:val="24"/>
          <w:szCs w:val="24"/>
        </w:rPr>
        <w:t xml:space="preserve">. Настоящий порядок является обязательным для использования владельцами ж</w:t>
      </w:r>
      <w:r>
        <w:rPr>
          <w:sz w:val="24"/>
          <w:szCs w:val="24"/>
        </w:rPr>
        <w:t xml:space="preserve">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определяет условия и способы хранения, сбора, обезвреживания, транспортировки и захоронения (утилизации) биологически</w:t>
      </w:r>
      <w:r>
        <w:rPr>
          <w:sz w:val="24"/>
          <w:szCs w:val="24"/>
        </w:rPr>
        <w:t xml:space="preserve">х отходов на территории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муниципального образования «Фалилеевское сельское поселение».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Биологическими отходами являются: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трупы животных и птиц, в т.ч. лабораторных;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абортированные и мертворожденные плоды;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мясо, рыбоперерабатывающих организациях, рынках, организациях торговли и других объектах;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другие отходы, получаемые при переработке пищевого и непищевого сырья животного происхождения.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Владельцы животных, в срок не бол</w:t>
      </w:r>
      <w:r>
        <w:rPr>
          <w:sz w:val="24"/>
          <w:szCs w:val="24"/>
        </w:rPr>
        <w:t xml:space="preserve">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1.4.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Биологические отходы утилизируют путем переработки в соответствии с действующими Ветеринарно-санитарными правилами сбора, утилизации и уничтожения биологических отходов (в ред. Приказа Минсельхоза России от 26</w:t>
      </w:r>
      <w:r>
        <w:rPr>
          <w:sz w:val="24"/>
          <w:szCs w:val="24"/>
        </w:rPr>
        <w:t xml:space="preserve">.10.2020 N 626 «Об утверждении Ветеринарных правил перемещения, хранения, переработки и утилизации биологических отходов»), обеззараживают в биотермических ямах, уничтожают сжиганием или в исключительных случаях захоранивают в специально отведенных местах.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1.6. Места, отведенные для захоронения биологических отходов (скотомогильники), должны иметь одну или несколько биотермических ям.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Уничтожение биологических отходов путем захоронения в землю категорически запрещается.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1.7.1. В исключительных случаях, при масс</w:t>
      </w:r>
      <w:r>
        <w:rPr>
          <w:sz w:val="24"/>
          <w:szCs w:val="24"/>
        </w:rPr>
        <w:t xml:space="preserve">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Запрещается захоронение биологических отходов в землю, вывоз их на свалки, сброс в бытовые мусорные контейнеры, в поля, леса, овраги, водные объекты.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1.9. Биологические отходы, зараженные или контаминированные возбудителями: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сибирской язвы, эмфизематозного карбункула, чумы крупного рогатого скота, чумы верблюдов, бешенства, туляремии, столбняка, злокачественного отека, катаральной лихорадки крупного рогатого скота</w:t>
      </w:r>
      <w:r>
        <w:rPr>
          <w:sz w:val="24"/>
          <w:szCs w:val="24"/>
        </w:rPr>
        <w:t xml:space="preserve"> и овец, африканской чумы свиней, ботулизма, сапа, эпизоотического лимфангоита, мелиоидоза (ложного сапа), миксоматоза, геморрагической болезни кроликов, чумы птиц, сжигают на месте, а также в трупосжигательных печах или на специально отведенных площадках;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энцефалопатии, скрепи, аденоматоза, висна-маэди, перерабатывают на мясокостную муку. В случае невозможности переработки они подлежат сжиганию;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болезней, ранее не регистрировавшихся на территории России, сжигают.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При радиоактивном загрязнении биологических отходов в дозе 1 x 10Е-6 Кю/кг и выше они подлежат захоронению в специальных хранилищах в соответствии с требованиями, предъявляемыми к радиоактивным отходам.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1.11. Настоящие Правила определяют условия: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сбор</w:t>
      </w:r>
      <w:r>
        <w:rPr>
          <w:sz w:val="24"/>
          <w:szCs w:val="24"/>
        </w:rPr>
        <w:t xml:space="preserve">а, утилизации и уничтожения биологических отходов в животноводческих комплексах (фермах), фермерских, личных, подсобных хозяйствах, населенных пунктах, местах скопления, кочевий (прогона) животных; при транспортировке животных и животноводческой продукции;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нераспространения возбудителей инфекционных и инвазионных болезней животных;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предупреждения заболеваний людей зооантропонозными болезнями; – охраны окружающей среды от загрязнения.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     Уборка и перевозка 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Ветеринарный специалист при осмотре трупа животного, мертворожденного, абортированного плода и других биологических отходов дает заключение об их уборке, утилизации или уничтожении.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2.2. В случае заболевания животного болезнью, представитель государственного ве</w:t>
      </w:r>
      <w:r>
        <w:rPr>
          <w:sz w:val="24"/>
          <w:szCs w:val="24"/>
        </w:rPr>
        <w:t xml:space="preserve">теринарного надзора дает обязательное для исполнения всеми лицами указание об убое или уничтожении животных. До их убоя или уничтожения эти лица обязаны принять меры, исключающие доступ к ним посторонних граждан, а также животных, включая птиц и насекомых.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 Сбор и уничтожение трупов диких (бродячих) животных проводится владельцем, в чьем ведении находится данная местность.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2.4. При обнаружении трупа в автотранспорт</w:t>
      </w:r>
      <w:r>
        <w:rPr>
          <w:sz w:val="24"/>
          <w:szCs w:val="24"/>
        </w:rPr>
        <w:t xml:space="preserve">е в пути следования или на месте выгрузки животных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</w:t>
      </w:r>
      <w:r>
        <w:rPr>
          <w:sz w:val="24"/>
          <w:szCs w:val="24"/>
        </w:rPr>
        <w:t xml:space="preserve">. Транспортные средства, выделенные для перевозки биологических отходов,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2.6. После погрузки биологических отходов на транспортное средство обязательно д</w:t>
      </w:r>
      <w:r>
        <w:rPr>
          <w:sz w:val="24"/>
          <w:szCs w:val="24"/>
        </w:rPr>
        <w:t xml:space="preserve">езинфицируют место, где они лежали, а также использованный при этом инвентарь и оборудование. Почву (место), где лежал труп или другие биологические отходы, дезинфицируют сухой хлорной известью из расчета 5 кг/кв. м, затем ее перекапывают на глубину 25 см.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2.7. 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      Утилизация 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3.1.Биологические отходы, допущенные ветеринарной службой к переработке, утилизации на специально оборудованных на ветеринарно-санитарных заводах, утилизационных цехах животноводческих хозяйств.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      Уничтожение 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Захоронение в земляные ямы.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4.1.1. Захоронение и уничтожение трупов животных осуществляется в соответствии с Ветеринарно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санитарными правилами сбора, утилизации и уничтожения биологических отходов (в ред. Приказа Минсельхоза России от 26.10.2020 N 626 «Об утверждении Ветеринарных правил перемещения, хранения, переработки и утилизации биологических отходов»).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4.2. Сжигание биологических отходов проводят под контролем ветеринарного специалиста, в специальных печах или земляных траншеях (ямах) до образования негорючего неорганического остатка.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      Размещение и строительство скотомогильников (биотермических ям) 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Выбор и отвод земельного участка для строительства скотомогильника или отдельно стоящей биотермической ямы осуществляется в соответств</w:t>
      </w:r>
      <w:r>
        <w:rPr>
          <w:sz w:val="24"/>
          <w:szCs w:val="24"/>
        </w:rPr>
        <w:t xml:space="preserve">ии с Ветеринарно-санитарными правилами сбора, утилизации и уничтожения биологических отходов (в ред. Приказа Минсельхоза России от 26.10.2020 N 626 «Об утверждении Ветеринарных правил перемещения, хранения, переработки и утилизации биологических отходов»).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5.2. Размещение скотомогильников (биотермических ям) в водоохранной, лесопарковой и заповедной зонах категорически запрещается.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Размер санитарно-защитной зоны от скотомогильника (биотермической ямы) до: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жилых, общественных зданий, животноводческих ферм (комплексов) – 1000 м;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скотопрогонов и пастбищ – 200 м;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автомобильных, железных дорог в зависимости от их категории – 50 – 300 м.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5.4. Приемку построенного скотомогильника (биотермической ямы) проводят с обязательным участием представителей государственного ветеринарного и санитарного надзора с составлением акта приемки.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Скотомогильник (биотермическая яма) должен иметь удобные подъездные пути.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Эксплуатация 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Скотомогильники и биотермические ямы, принадлежащие организациям, эксплуатируются за их счет.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6.2. Биологические отход</w:t>
      </w:r>
      <w:r>
        <w:rPr>
          <w:sz w:val="24"/>
          <w:szCs w:val="24"/>
        </w:rPr>
        <w:t xml:space="preserve">ы перед сбросом в биотермическую яму для обеззараживания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патологоанатомическое вскрытие трупов.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6.3. На территории скотомогильника (биотермической ямы) запрещается: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пасти скот, косить траву;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брать, выносить, вывозить землю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гумированный остаток за его пределы.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Приложение к Порядку хранения, сбора,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обезвреживания, транспортировки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захоронения (утилизации) биологических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отходов на территории </w:t>
      </w:r>
      <w:r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образования «Фалилеевское сельское поселение»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ВЕТЕРИНАРНО-САНИТАРНАЯ КАРТОЧКА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СКОТОМОГИЛЬНИК (БИОТЕРМИЧЕСКУЮ ЯМУ) № ____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Местонахождение </w:t>
      </w:r>
      <w:r>
        <w:rPr>
          <w:sz w:val="24"/>
          <w:szCs w:val="24"/>
        </w:rPr>
        <w:t xml:space="preserve">_______________________________</w:t>
      </w:r>
      <w:r>
        <w:rPr>
          <w:sz w:val="24"/>
          <w:szCs w:val="24"/>
        </w:rPr>
        <w:t xml:space="preserve"> (адрес расположения)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Расположение скотомоги</w:t>
      </w:r>
      <w:r>
        <w:rPr>
          <w:sz w:val="24"/>
          <w:szCs w:val="24"/>
        </w:rPr>
        <w:t xml:space="preserve">льника (биотермической ямы) на местности (прилагается выкопировка из карты землепользования в масштабе не менее 1:5000 (в 1 см 50 м), с привязкой к постоянному ориентиру (тригонометрическая вышка, дорога с твердым покрытием, линия электропередачи и т.д.)).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Удаление   от   ближайшего   населенного   пункта   и   его наименование:___________________________________________________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  <w:t xml:space="preserve">м;__________________________________________ фермы (комплекса)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м;_____________________________________________ пастбища</w:t>
      </w:r>
      <w:r>
        <w:rPr>
          <w:sz w:val="24"/>
          <w:szCs w:val="24"/>
        </w:rPr>
        <w:t xml:space="preserve">, водоема, дороги </w:t>
      </w:r>
      <w:r>
        <w:rPr>
          <w:sz w:val="24"/>
          <w:szCs w:val="24"/>
        </w:rPr>
        <w:t xml:space="preserve">м;__________________________________________________________________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Описание ме</w:t>
      </w:r>
      <w:r>
        <w:rPr>
          <w:sz w:val="24"/>
          <w:szCs w:val="24"/>
        </w:rPr>
        <w:t xml:space="preserve">стности: характеристика окружающей территории:____________________________________________________________________________________________________________ _____________________________________________________ глубина залегания грунтовыхвод _____________ м,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направление стока осадков _________________________________________.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Какие    населенные    пункты, животноводческие    фермы (комплексы), фермерские    хозяйства, организации    пользуются скотомогильником (биотермической ямой) _________________________________________________________</w:t>
      </w:r>
      <w:r>
        <w:rPr>
          <w:sz w:val="24"/>
          <w:szCs w:val="24"/>
        </w:rPr>
        <w:t xml:space="preserve">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Площадь скотомогильника ____________________________________________________ кв. м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Ограждение скотомогильника ______________________________________________________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Санитарная характеристика скотомогильника: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первое захоронение биологических отходов было в ______ г.;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животные, павшие от сибирской язвы, были захоронены в ________________________гг.;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животные, павшие от экера и других болезней, вызываемых спорообразующими микроорганизмами, перечисленными в п. 1.9 Правил, были захоронены в ___________гг.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2"/>
        <w:gridCol w:w="1560"/>
        <w:gridCol w:w="3118"/>
        <w:gridCol w:w="1510"/>
        <w:gridCol w:w="1858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проверки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Выявленные недостатки</w:t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Указания по устранению (перечень работ, что нужно сделать). Срок исполнения. Исполнитель</w:t>
            </w:r>
            <w:r>
              <w:rPr>
                <w:sz w:val="24"/>
                <w:szCs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выполнения работ</w:t>
            </w:r>
            <w:r>
              <w:rPr>
                <w:sz w:val="24"/>
                <w:szCs w:val="24"/>
              </w:rPr>
            </w:r>
          </w:p>
        </w:tc>
        <w:tc>
          <w:tcPr>
            <w:tcW w:w="185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Исполнение. Дата проверки. Ф.И.О, должность проверяющего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  ____________________</w:t>
      </w:r>
      <w:r>
        <w:rPr>
          <w:sz w:val="24"/>
          <w:szCs w:val="24"/>
        </w:rPr>
        <w:t xml:space="preserve">_ __________</w:t>
      </w:r>
      <w:r>
        <w:rPr>
          <w:sz w:val="24"/>
          <w:szCs w:val="24"/>
        </w:rPr>
        <w:t xml:space="preserve"> (должность)                                            (подпись)                                     (Ф.И.О.)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Ветеринарно-санитарную карточку получил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  _____________________ __________ (должность)                                            (подпись)                                     (Ф.И.О.)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Ветеринарно-санитарная карточка составлена в 3-х экземплярах и передана по экземпляру: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_______________________________________________________________ (организация, хозяйство)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_______________________________________________________________ (государственная ветеринарная организация)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_______________________________________________________________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(орган государственного санитарного надзора)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7" w:h="16840" w:orient="portrait"/>
      <w:pgMar w:top="426" w:right="1134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70" w:hanging="360"/>
        <w:tabs>
          <w:tab w:val="num" w:pos="10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5" w:hanging="465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63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560" w:hanging="360"/>
        <w:tabs>
          <w:tab w:val="num" w:pos="156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  <w:tabs>
          <w:tab w:val="num" w:pos="22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  <w:tabs>
          <w:tab w:val="num" w:pos="30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  <w:tabs>
          <w:tab w:val="num" w:pos="37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  <w:tabs>
          <w:tab w:val="num" w:pos="44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  <w:tabs>
          <w:tab w:val="num" w:pos="51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  <w:tabs>
          <w:tab w:val="num" w:pos="58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  <w:tabs>
          <w:tab w:val="num" w:pos="66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40" w:hanging="360"/>
        <w:tabs>
          <w:tab w:val="num" w:pos="20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  <w:tabs>
          <w:tab w:val="num" w:pos="26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  <w:tabs>
          <w:tab w:val="num" w:pos="3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  <w:tabs>
          <w:tab w:val="num" w:pos="40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  <w:tabs>
          <w:tab w:val="num" w:pos="48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  <w:tabs>
          <w:tab w:val="num" w:pos="5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  <w:tabs>
          <w:tab w:val="num" w:pos="62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  <w:tabs>
          <w:tab w:val="num" w:pos="69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  <w:tabs>
          <w:tab w:val="num" w:pos="76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80" w:hanging="360"/>
        <w:tabs>
          <w:tab w:val="num" w:pos="19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00" w:hanging="360"/>
        <w:tabs>
          <w:tab w:val="num" w:pos="27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20" w:hanging="360"/>
        <w:tabs>
          <w:tab w:val="num" w:pos="34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40" w:hanging="360"/>
        <w:tabs>
          <w:tab w:val="num" w:pos="41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0" w:hanging="360"/>
        <w:tabs>
          <w:tab w:val="num" w:pos="48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80" w:hanging="360"/>
        <w:tabs>
          <w:tab w:val="num" w:pos="55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00" w:hanging="360"/>
        <w:tabs>
          <w:tab w:val="num" w:pos="63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0" w:hanging="360"/>
        <w:tabs>
          <w:tab w:val="num" w:pos="70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40" w:hanging="360"/>
        <w:tabs>
          <w:tab w:val="num" w:pos="774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60"/>
        <w:tabs>
          <w:tab w:val="num" w:pos="40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  <w:tabs>
          <w:tab w:val="num" w:pos="11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  <w:tabs>
          <w:tab w:val="num" w:pos="18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  <w:tabs>
          <w:tab w:val="num" w:pos="25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  <w:tabs>
          <w:tab w:val="num" w:pos="32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  <w:tabs>
          <w:tab w:val="num" w:pos="40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  <w:tabs>
          <w:tab w:val="num" w:pos="47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  <w:tabs>
          <w:tab w:val="num" w:pos="54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  <w:tabs>
          <w:tab w:val="num" w:pos="616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0" w:hanging="12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20" w:hanging="360"/>
        <w:tabs>
          <w:tab w:val="num" w:pos="16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16"/>
  </w:num>
  <w:num w:numId="9">
    <w:abstractNumId w:val="1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1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1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1"/>
    <w:link w:val="42"/>
    <w:uiPriority w:val="99"/>
  </w:style>
  <w:style w:type="character" w:styleId="45">
    <w:name w:val="Footer Char"/>
    <w:basedOn w:val="661"/>
    <w:link w:val="677"/>
    <w:uiPriority w:val="99"/>
  </w:style>
  <w:style w:type="character" w:styleId="47">
    <w:name w:val="Caption Char"/>
    <w:basedOn w:val="674"/>
    <w:link w:val="677"/>
    <w:uiPriority w:val="99"/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</w:style>
  <w:style w:type="paragraph" w:styleId="652">
    <w:name w:val="Heading 1"/>
    <w:basedOn w:val="651"/>
    <w:next w:val="651"/>
    <w:qFormat/>
    <w:pPr>
      <w:keepNext/>
      <w:outlineLvl w:val="0"/>
    </w:pPr>
    <w:rPr>
      <w:sz w:val="24"/>
    </w:rPr>
  </w:style>
  <w:style w:type="paragraph" w:styleId="653">
    <w:name w:val="Heading 2"/>
    <w:basedOn w:val="651"/>
    <w:next w:val="651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54">
    <w:name w:val="Heading 3"/>
    <w:basedOn w:val="651"/>
    <w:next w:val="651"/>
    <w:qFormat/>
    <w:pPr>
      <w:keepNext/>
      <w:outlineLvl w:val="2"/>
    </w:pPr>
    <w:rPr>
      <w:sz w:val="40"/>
    </w:rPr>
  </w:style>
  <w:style w:type="paragraph" w:styleId="655">
    <w:name w:val="Heading 4"/>
    <w:basedOn w:val="651"/>
    <w:next w:val="651"/>
    <w:qFormat/>
    <w:pPr>
      <w:keepNext/>
      <w:outlineLvl w:val="3"/>
    </w:pPr>
    <w:rPr>
      <w:b/>
      <w:sz w:val="32"/>
      <w:u w:val="single"/>
    </w:rPr>
  </w:style>
  <w:style w:type="paragraph" w:styleId="656">
    <w:name w:val="Heading 5"/>
    <w:basedOn w:val="651"/>
    <w:next w:val="651"/>
    <w:qFormat/>
    <w:pPr>
      <w:jc w:val="right"/>
      <w:keepNext/>
      <w:outlineLvl w:val="4"/>
    </w:pPr>
    <w:rPr>
      <w:sz w:val="32"/>
    </w:rPr>
  </w:style>
  <w:style w:type="paragraph" w:styleId="657">
    <w:name w:val="Heading 6"/>
    <w:basedOn w:val="651"/>
    <w:next w:val="651"/>
    <w:qFormat/>
    <w:pPr>
      <w:jc w:val="center"/>
      <w:keepNext/>
      <w:outlineLvl w:val="5"/>
    </w:pPr>
    <w:rPr>
      <w:sz w:val="32"/>
    </w:rPr>
  </w:style>
  <w:style w:type="paragraph" w:styleId="658">
    <w:name w:val="Heading 7"/>
    <w:basedOn w:val="651"/>
    <w:next w:val="651"/>
    <w:qFormat/>
    <w:pPr>
      <w:keepNext/>
      <w:outlineLvl w:val="6"/>
    </w:pPr>
    <w:rPr>
      <w:sz w:val="32"/>
    </w:rPr>
  </w:style>
  <w:style w:type="paragraph" w:styleId="659">
    <w:name w:val="Heading 8"/>
    <w:basedOn w:val="651"/>
    <w:next w:val="651"/>
    <w:qFormat/>
    <w:pPr>
      <w:ind w:left="4395"/>
      <w:keepNext/>
      <w:outlineLvl w:val="7"/>
    </w:pPr>
    <w:rPr>
      <w:sz w:val="28"/>
    </w:rPr>
  </w:style>
  <w:style w:type="paragraph" w:styleId="660">
    <w:name w:val="Heading 9"/>
    <w:basedOn w:val="651"/>
    <w:next w:val="651"/>
    <w:qFormat/>
    <w:pPr>
      <w:jc w:val="center"/>
      <w:keepNext/>
      <w:outlineLvl w:val="8"/>
    </w:pPr>
    <w:rPr>
      <w:sz w:val="48"/>
    </w:rPr>
  </w:style>
  <w:style w:type="character" w:styleId="661" w:default="1">
    <w:name w:val="Default Paragraph Font"/>
    <w:semiHidden/>
  </w:style>
  <w:style w:type="table" w:styleId="662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semiHidden/>
  </w:style>
  <w:style w:type="paragraph" w:styleId="664">
    <w:name w:val="Заголовок"/>
    <w:basedOn w:val="651"/>
    <w:qFormat/>
    <w:pPr>
      <w:jc w:val="center"/>
    </w:pPr>
    <w:rPr>
      <w:sz w:val="56"/>
    </w:rPr>
  </w:style>
  <w:style w:type="character" w:styleId="665">
    <w:name w:val="Hyperlink"/>
    <w:rPr>
      <w:color w:val="0000ff"/>
      <w:u w:val="single"/>
    </w:rPr>
  </w:style>
  <w:style w:type="character" w:styleId="666">
    <w:name w:val="FollowedHyperlink"/>
    <w:rPr>
      <w:color w:val="800080"/>
      <w:u w:val="single"/>
    </w:rPr>
  </w:style>
  <w:style w:type="paragraph" w:styleId="667">
    <w:name w:val="Body Text"/>
    <w:basedOn w:val="651"/>
    <w:rPr>
      <w:sz w:val="32"/>
    </w:rPr>
  </w:style>
  <w:style w:type="paragraph" w:styleId="668">
    <w:name w:val="Body Text 2"/>
    <w:basedOn w:val="651"/>
    <w:rPr>
      <w:sz w:val="28"/>
    </w:rPr>
  </w:style>
  <w:style w:type="paragraph" w:styleId="669">
    <w:name w:val="Document Map"/>
    <w:basedOn w:val="651"/>
    <w:semiHidden/>
    <w:pPr>
      <w:shd w:val="clear" w:color="auto" w:fill="000080"/>
    </w:pPr>
    <w:rPr>
      <w:rFonts w:ascii="Tahoma" w:hAnsi="Tahoma"/>
    </w:rPr>
  </w:style>
  <w:style w:type="paragraph" w:styleId="670">
    <w:name w:val="Block Text"/>
    <w:basedOn w:val="651"/>
    <w:pPr>
      <w:ind w:left="-1276" w:right="-663"/>
    </w:pPr>
    <w:rPr>
      <w:b/>
      <w:sz w:val="52"/>
    </w:rPr>
  </w:style>
  <w:style w:type="paragraph" w:styleId="671">
    <w:name w:val="Body Text 3"/>
    <w:basedOn w:val="651"/>
    <w:rPr>
      <w:sz w:val="24"/>
    </w:rPr>
  </w:style>
  <w:style w:type="paragraph" w:styleId="672">
    <w:name w:val="Body Text Indent"/>
    <w:basedOn w:val="651"/>
    <w:pPr>
      <w:ind w:left="1418"/>
    </w:pPr>
    <w:rPr>
      <w:b/>
      <w:sz w:val="48"/>
    </w:rPr>
  </w:style>
  <w:style w:type="paragraph" w:styleId="673">
    <w:name w:val="Body Text Indent 2"/>
    <w:basedOn w:val="651"/>
    <w:pPr>
      <w:ind w:left="660"/>
    </w:pPr>
    <w:rPr>
      <w:sz w:val="28"/>
    </w:rPr>
  </w:style>
  <w:style w:type="paragraph" w:styleId="674">
    <w:name w:val="Caption"/>
    <w:basedOn w:val="651"/>
    <w:next w:val="651"/>
    <w:qFormat/>
    <w:pPr>
      <w:ind w:right="-425"/>
      <w:jc w:val="center"/>
    </w:pPr>
    <w:rPr>
      <w:b/>
      <w:bCs/>
      <w:sz w:val="28"/>
    </w:rPr>
  </w:style>
  <w:style w:type="paragraph" w:styleId="675">
    <w:name w:val="Body Text Indent 3"/>
    <w:basedOn w:val="651"/>
    <w:pPr>
      <w:ind w:right="-425" w:firstLine="720"/>
      <w:jc w:val="both"/>
    </w:pPr>
    <w:rPr>
      <w:b/>
      <w:bCs/>
      <w:sz w:val="28"/>
    </w:rPr>
  </w:style>
  <w:style w:type="paragraph" w:styleId="676">
    <w:name w:val="Balloon Text"/>
    <w:basedOn w:val="651"/>
    <w:semiHidden/>
    <w:rPr>
      <w:rFonts w:ascii="Tahoma" w:hAnsi="Tahoma" w:cs="Tahoma"/>
      <w:sz w:val="16"/>
      <w:szCs w:val="16"/>
    </w:rPr>
  </w:style>
  <w:style w:type="paragraph" w:styleId="677">
    <w:name w:val="Footer"/>
    <w:basedOn w:val="651"/>
    <w:link w:val="678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678" w:customStyle="1">
    <w:name w:val="Нижний колонтитул Знак"/>
    <w:link w:val="677"/>
    <w:uiPriority w:val="99"/>
    <w:rPr>
      <w:sz w:val="24"/>
      <w:szCs w:val="24"/>
    </w:rPr>
  </w:style>
  <w:style w:type="paragraph" w:styleId="679" w:customStyle="1">
    <w:name w:val="ConsTitle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680">
    <w:name w:val="Table Grid"/>
    <w:basedOn w:val="66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53BE8-C629-4363-95EB-D463641D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3</cp:revision>
  <dcterms:created xsi:type="dcterms:W3CDTF">2023-12-18T11:04:00Z</dcterms:created>
  <dcterms:modified xsi:type="dcterms:W3CDTF">2025-04-03T11:30:20Z</dcterms:modified>
</cp:coreProperties>
</file>