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6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6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12</w:t>
      </w:r>
      <w:r>
        <w:rPr>
          <w:bCs/>
        </w:rPr>
        <w:t xml:space="preserve">.05</w:t>
      </w:r>
      <w:r>
        <w:rPr>
          <w:bCs/>
        </w:rPr>
        <w:t xml:space="preserve">.</w:t>
      </w:r>
      <w:r>
        <w:rPr>
          <w:bCs/>
        </w:rPr>
        <w:t xml:space="preserve">2023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7</w:t>
      </w:r>
      <w:r>
        <w:rPr>
          <w:bCs/>
        </w:rPr>
        <w:t xml:space="preserve">7</w:t>
      </w:r>
      <w:r>
        <w:rPr>
          <w:bCs/>
          <w:color w:val="ff0000"/>
        </w:rPr>
      </w:r>
    </w:p>
    <w:tbl>
      <w:tblPr>
        <w:tblW w:w="6059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059"/>
      </w:tblGrid>
      <w:tr>
        <w:tblPrEx/>
        <w:trPr>
          <w:tblCellSpacing w:w="0" w:type="dxa"/>
          <w:trHeight w:val="2156"/>
        </w:trPr>
        <w:tc>
          <w:tcPr>
            <w:tcW w:w="6059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жилого дома кадастровый номер 47:20:0502001:160, площадью 35,6 кв.м., с земельным участком кадастровый номер 47:20:0502002:28, площадью 2500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,,</w:t>
            </w:r>
            <w:r>
              <w:rPr>
                <w:color w:val="000000"/>
              </w:rPr>
              <w:t xml:space="preserve"> находящ</w:t>
            </w:r>
            <w:r>
              <w:rPr>
                <w:color w:val="000000"/>
              </w:rPr>
              <w:t xml:space="preserve">егося </w:t>
            </w:r>
            <w:r>
              <w:rPr>
                <w:color w:val="000000"/>
              </w:rPr>
              <w:t xml:space="preserve"> по адресу: 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 д. 18</w:t>
            </w: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698"/>
        <w:ind w:left="0" w:firstLine="0"/>
        <w:jc w:val="both"/>
        <w:rPr>
          <w:szCs w:val="24"/>
        </w:rPr>
      </w:pPr>
      <w:r>
        <w:rPr>
          <w:color w:val="000000"/>
          <w:szCs w:val="24"/>
          <w:lang w:eastAsia="ru-RU"/>
        </w:rPr>
        <w:t xml:space="preserve">       </w:t>
      </w:r>
      <w:r>
        <w:rPr>
          <w:szCs w:val="24"/>
        </w:rP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>
        <w:rPr>
          <w:szCs w:val="24"/>
        </w:rPr>
        <w:t xml:space="preserve">в соответствии со статей 23 Федерального закона </w:t>
      </w:r>
      <w:hyperlink r:id="rId12" w:tooltip="http://www.consultant.ru/document/cons_doc_LAW_35155/" w:history="1">
        <w:r>
          <w:rPr>
            <w:rStyle w:val="730"/>
            <w:bCs/>
            <w:color w:val="000000" w:themeColor="text1"/>
            <w:szCs w:val="24"/>
            <w:u w:val="none"/>
            <w:shd w:val="clear" w:color="auto" w:fill="ffffff"/>
          </w:rPr>
          <w:t xml:space="preserve">от 21.12.2001 N </w:t>
        </w:r>
        <w:r>
          <w:rPr>
            <w:rStyle w:val="730"/>
            <w:bCs/>
            <w:color w:val="000000" w:themeColor="text1"/>
            <w:szCs w:val="24"/>
            <w:u w:val="none"/>
            <w:shd w:val="clear" w:color="auto" w:fill="ffffff"/>
          </w:rPr>
          <w:t xml:space="preserve">178-ФЗ (ред. от 31.07.2020) "О приватизации государственного и муниципального имущества"</w:t>
        </w:r>
      </w:hyperlink>
      <w:r>
        <w:rPr>
          <w:szCs w:val="24"/>
        </w:rPr>
        <w:t xml:space="preserve"> в</w:t>
      </w:r>
      <w:r>
        <w:rPr>
          <w:color w:val="000000"/>
          <w:szCs w:val="24"/>
          <w:lang w:eastAsia="ru-RU"/>
        </w:rPr>
        <w:t xml:space="preserve"> </w:t>
      </w:r>
      <w:r>
        <w:rPr>
          <w:szCs w:val="24"/>
        </w:rPr>
        <w:t xml:space="preserve">соответствии с Прогнозным планом – программой приватизации муниципального имущества муниципального образования «Фалилеевское сельское поселение» муниципального образования «Кингисеппский муниципальный район Ленинградской области </w:t>
      </w:r>
      <w:r>
        <w:rPr>
          <w:szCs w:val="24"/>
        </w:rPr>
        <w:t xml:space="preserve">на </w:t>
      </w:r>
      <w:r>
        <w:rPr>
          <w:szCs w:val="24"/>
        </w:rPr>
        <w:t xml:space="preserve">2023</w:t>
      </w:r>
      <w:r>
        <w:rPr>
          <w:szCs w:val="24"/>
        </w:rPr>
        <w:t xml:space="preserve"> год, утвержденным решением Совета депутатов МО «Фалилеевское сельское поселение</w:t>
      </w:r>
      <w:r>
        <w:rPr>
          <w:szCs w:val="24"/>
        </w:rPr>
        <w:t xml:space="preserve">» от </w:t>
      </w:r>
      <w:r>
        <w:rPr>
          <w:szCs w:val="24"/>
        </w:rPr>
        <w:t xml:space="preserve">14</w:t>
      </w:r>
      <w:r>
        <w:rPr>
          <w:szCs w:val="24"/>
        </w:rPr>
        <w:t xml:space="preserve"> </w:t>
      </w:r>
      <w:r>
        <w:rPr>
          <w:szCs w:val="24"/>
        </w:rPr>
        <w:t xml:space="preserve">декабря</w:t>
      </w:r>
      <w:r>
        <w:rPr>
          <w:szCs w:val="24"/>
        </w:rPr>
        <w:t xml:space="preserve"> 2022</w:t>
      </w:r>
      <w:r>
        <w:rPr>
          <w:szCs w:val="24"/>
        </w:rPr>
        <w:t xml:space="preserve"> года № </w:t>
      </w:r>
      <w:r>
        <w:rPr>
          <w:szCs w:val="24"/>
        </w:rPr>
        <w:t xml:space="preserve">187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 xml:space="preserve"> администрация муниципального образования «Фалилеевское сельское поселение»</w:t>
      </w:r>
      <w:r>
        <w:rPr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jc w:val="both"/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муниципального образования МО «Фалилеевское сельское поселение»  </w:t>
      </w:r>
      <w:r>
        <w:rPr>
          <w:color w:val="000000"/>
        </w:rPr>
        <w:t xml:space="preserve">Жилого дома кадастровый номер 47:20:0502001:160, площадью 35,6 кв.м., с земельным участком кадастровый номер 47:20:0502002:28, площадью 2500 кв</w:t>
      </w:r>
      <w:r>
        <w:rPr>
          <w:color w:val="000000"/>
        </w:rPr>
        <w:t xml:space="preserve">.м</w:t>
      </w:r>
      <w:r>
        <w:rPr>
          <w:color w:val="000000"/>
        </w:rPr>
        <w:t xml:space="preserve">,,</w:t>
      </w:r>
      <w:r>
        <w:rPr>
          <w:color w:val="000000"/>
        </w:rPr>
        <w:t xml:space="preserve"> находящ</w:t>
      </w:r>
      <w:r>
        <w:rPr>
          <w:color w:val="000000"/>
        </w:rPr>
        <w:t xml:space="preserve">егося </w:t>
      </w:r>
      <w:r>
        <w:rPr>
          <w:color w:val="000000"/>
        </w:rPr>
        <w:t xml:space="preserve"> по адресу: Ленинградская область, Кингисеппский район, Фалилее</w:t>
      </w:r>
      <w:r>
        <w:rPr>
          <w:color w:val="000000"/>
        </w:rPr>
        <w:t xml:space="preserve">вское сельское поселение,  деревня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Домашово д. 18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являющ</w:t>
      </w:r>
      <w:r>
        <w:rPr>
          <w:color w:val="000000" w:themeColor="text1"/>
        </w:rPr>
        <w:t xml:space="preserve">егося</w:t>
      </w:r>
      <w:r>
        <w:rPr>
          <w:color w:val="000000" w:themeColor="text1"/>
        </w:rPr>
        <w:t xml:space="preserve">, муниципальной собственностью администрации</w:t>
      </w:r>
      <w:r>
        <w:rPr>
          <w:rStyle w:val="722"/>
          <w:color w:val="000000" w:themeColor="text1"/>
        </w:rPr>
        <w:t xml:space="preserve"> </w:t>
      </w:r>
      <w:r>
        <w:rPr>
          <w:color w:val="000000" w:themeColor="text1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посредством публичного предложения </w:t>
      </w:r>
      <w:bookmarkStart w:id="0" w:name="sub_3"/>
      <w:r>
        <w:rPr>
          <w:color w:val="000000" w:themeColor="text1"/>
          <w:sz w:val="26"/>
          <w:szCs w:val="26"/>
        </w:rPr>
        <w:t xml:space="preserve"> в электронной форме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/>
        </w:rPr>
      </w:r>
    </w:p>
    <w:p>
      <w:pPr>
        <w:pStyle w:val="729"/>
        <w:numPr>
          <w:ilvl w:val="0"/>
          <w:numId w:val="11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Установить: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2.1. </w:t>
      </w:r>
      <w:r>
        <w:rPr>
          <w:color w:val="000000" w:themeColor="text1"/>
          <w:sz w:val="26"/>
          <w:szCs w:val="26"/>
        </w:rPr>
        <w:t xml:space="preserve">Начальную цену продажи муниципального имущества на </w:t>
      </w:r>
      <w:r>
        <w:rPr>
          <w:color w:val="000000" w:themeColor="text1"/>
          <w:sz w:val="26"/>
          <w:szCs w:val="26"/>
        </w:rPr>
        <w:t xml:space="preserve">аукционе</w:t>
      </w:r>
      <w:r>
        <w:rPr>
          <w:color w:val="000000" w:themeColor="text1"/>
          <w:sz w:val="26"/>
          <w:szCs w:val="26"/>
        </w:rPr>
        <w:t xml:space="preserve"> в размере </w:t>
      </w:r>
      <w:r>
        <w:rPr>
          <w:color w:val="000000" w:themeColor="text1"/>
        </w:rPr>
        <w:t xml:space="preserve"> </w:t>
      </w:r>
      <w:r>
        <w:rPr>
          <w:bCs/>
          <w:iCs/>
          <w:color w:val="000000"/>
        </w:rPr>
        <w:t xml:space="preserve">882000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 xml:space="preserve"> (</w:t>
      </w:r>
      <w:r>
        <w:rPr>
          <w:color w:val="000000"/>
        </w:rPr>
        <w:t xml:space="preserve">восемьсот восемьдесят две тысячи</w:t>
      </w:r>
      <w:r>
        <w:rPr>
          <w:color w:val="000000"/>
        </w:rPr>
        <w:t xml:space="preserve">) рублей 00  копеек</w:t>
      </w:r>
      <w:r>
        <w:rPr>
          <w:color w:val="000000"/>
        </w:rPr>
        <w:t xml:space="preserve">, НДС не облагается</w:t>
      </w:r>
      <w:r>
        <w:rPr>
          <w:color w:val="000000"/>
        </w:rPr>
        <w:t xml:space="preserve">.</w:t>
      </w:r>
      <w:r>
        <w:rPr>
          <w:color w:val="000000" w:themeColor="text1"/>
        </w:rPr>
      </w:r>
    </w:p>
    <w:p>
      <w:pPr>
        <w:jc w:val="both"/>
        <w:rPr>
          <w:iCs/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2.2. Задаток для участия в аукционе в размере</w:t>
      </w:r>
      <w:r>
        <w:rPr>
          <w:color w:val="000000" w:themeColor="text1"/>
        </w:rPr>
        <w:t xml:space="preserve"> (1</w:t>
      </w:r>
      <w:r>
        <w:rPr>
          <w:color w:val="000000" w:themeColor="text1"/>
        </w:rPr>
        <w:t xml:space="preserve">0%) -  </w:t>
      </w:r>
      <w:r>
        <w:rPr>
          <w:iCs/>
          <w:color w:val="000000"/>
        </w:rPr>
        <w:t xml:space="preserve">88200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восемьдесят восемь тысяч двести</w:t>
      </w:r>
      <w:r>
        <w:rPr>
          <w:iCs/>
          <w:color w:val="000000"/>
        </w:rPr>
        <w:t xml:space="preserve">) рублей  00 копеек</w:t>
      </w:r>
      <w:r>
        <w:rPr>
          <w:iCs/>
          <w:color w:val="000000" w:themeColor="text1"/>
        </w:rPr>
        <w:t xml:space="preserve">.</w:t>
      </w:r>
      <w:r>
        <w:rPr>
          <w:iCs/>
          <w:color w:val="000000" w:themeColor="text1"/>
        </w:rPr>
      </w:r>
    </w:p>
    <w:p>
      <w:pPr>
        <w:contextualSpacing/>
        <w:jc w:val="both"/>
        <w:spacing w:after="120"/>
        <w:tabs>
          <w:tab w:val="left" w:pos="0" w:leader="none"/>
          <w:tab w:val="left" w:pos="708" w:leader="none"/>
        </w:tabs>
      </w:pPr>
      <w:r>
        <w:rPr>
          <w:iCs/>
          <w:color w:val="000000" w:themeColor="text1"/>
        </w:rPr>
        <w:t xml:space="preserve">2.</w:t>
      </w:r>
      <w:r>
        <w:rPr>
          <w:iCs/>
          <w:color w:val="000000" w:themeColor="text1"/>
        </w:rPr>
        <w:t xml:space="preserve">3</w:t>
      </w:r>
      <w:r>
        <w:t xml:space="preserve"> Величина снижения  цены  первоначального предложения («шаг понижения») в размере 10 %  цены  первоначального предложения и составляет </w:t>
      </w:r>
      <w:r>
        <w:rPr>
          <w:iCs/>
          <w:color w:val="000000"/>
        </w:rPr>
        <w:t xml:space="preserve">88200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восемьдесят восемь тысяч двести</w:t>
      </w:r>
      <w:r>
        <w:rPr>
          <w:iCs/>
          <w:color w:val="000000"/>
        </w:rPr>
        <w:t xml:space="preserve">) рублей  00 копеек</w:t>
      </w:r>
      <w:r>
        <w:t xml:space="preserve">;</w:t>
      </w:r>
      <w:r/>
    </w:p>
    <w:p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contextualSpacing/>
        <w:jc w:val="both"/>
        <w:spacing w:after="120"/>
      </w:pPr>
      <w:r>
        <w:rPr>
          <w:iCs/>
          <w:color w:val="000000" w:themeColor="text1"/>
        </w:rPr>
        <w:t xml:space="preserve">2.4</w:t>
      </w:r>
      <w:r>
        <w:rPr>
          <w:b/>
        </w:rPr>
        <w:t xml:space="preserve"> </w:t>
      </w:r>
      <w:r>
        <w:t xml:space="preserve">Величина повышения первоначального предложения («шаг аукциона») в размере 50% «шага </w:t>
      </w:r>
      <w:r>
        <w:t xml:space="preserve">понижения» и составляет </w:t>
      </w:r>
      <w:r>
        <w:t xml:space="preserve">44100</w:t>
      </w:r>
      <w:r>
        <w:t xml:space="preserve">,00 (</w:t>
      </w:r>
      <w:r>
        <w:t xml:space="preserve">Сорок четыре тысячи сто</w:t>
      </w:r>
      <w:r>
        <w:t xml:space="preserve">) рублей 00 копеек</w:t>
      </w:r>
      <w:r>
        <w:t xml:space="preserve">;</w:t>
      </w:r>
      <w:r/>
    </w:p>
    <w:p>
      <w:pPr>
        <w:contextualSpacing/>
        <w:jc w:val="both"/>
        <w:spacing w:after="120"/>
        <w:rPr>
          <w:iCs/>
          <w:color w:val="000000" w:themeColor="text1"/>
        </w:rPr>
      </w:pPr>
      <w:r>
        <w:t xml:space="preserve">2.5 </w:t>
      </w:r>
      <w:r>
        <w:t xml:space="preserve">Минимальная цена предложения (цена отсечения)  в размере 50% начальной цены и составляет </w:t>
      </w:r>
      <w:r>
        <w:t xml:space="preserve">441000</w:t>
      </w:r>
      <w:r>
        <w:t xml:space="preserve"> (</w:t>
      </w:r>
      <w:r>
        <w:t xml:space="preserve">Четыреста сорок одна тысяча</w:t>
      </w:r>
      <w:r>
        <w:t xml:space="preserve">) рублей 00 копеек</w:t>
      </w:r>
      <w:r>
        <w:t xml:space="preserve">.</w:t>
      </w:r>
      <w:r>
        <w:rPr>
          <w:iCs/>
          <w:color w:val="000000" w:themeColor="text1"/>
        </w:rPr>
      </w:r>
    </w:p>
    <w:p>
      <w:pPr>
        <w:jc w:val="both"/>
        <w:rPr>
          <w:iCs/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2.6</w:t>
      </w:r>
      <w:r>
        <w:rPr>
          <w:color w:val="000000" w:themeColor="text1"/>
          <w:sz w:val="26"/>
          <w:szCs w:val="26"/>
        </w:rPr>
        <w:t xml:space="preserve">. Заключение договора купли-продажи с победителем аукциона в течение 5 рабочих дней </w:t>
      </w:r>
      <w:r>
        <w:rPr>
          <w:color w:val="000000" w:themeColor="text1"/>
          <w:sz w:val="26"/>
          <w:szCs w:val="26"/>
        </w:rPr>
        <w:t xml:space="preserve">с даты подведения</w:t>
      </w:r>
      <w:r>
        <w:rPr>
          <w:color w:val="000000" w:themeColor="text1"/>
          <w:sz w:val="26"/>
          <w:szCs w:val="26"/>
        </w:rPr>
        <w:t xml:space="preserve"> итогов аукциона.              </w:t>
      </w:r>
      <w:r>
        <w:rPr>
          <w:iCs/>
          <w:color w:val="000000" w:themeColor="text1"/>
        </w:rPr>
      </w:r>
    </w:p>
    <w:p>
      <w:pPr>
        <w:pStyle w:val="729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</w:t>
      </w:r>
      <w:r>
        <w:rPr>
          <w:color w:val="000000" w:themeColor="text1"/>
          <w:sz w:val="26"/>
          <w:szCs w:val="26"/>
        </w:rPr>
        <w:t xml:space="preserve">.7</w:t>
      </w:r>
      <w:r>
        <w:rPr>
          <w:color w:val="000000" w:themeColor="text1"/>
          <w:sz w:val="26"/>
          <w:szCs w:val="26"/>
        </w:rPr>
        <w:t xml:space="preserve">. Срок оплаты муниципального имущества победителем аукциона: в течение 10 рабочих дней со дня заключения договора купли-продажи. 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2.8</w:t>
      </w:r>
      <w:r>
        <w:rPr>
          <w:color w:val="000000" w:themeColor="text1"/>
          <w:sz w:val="26"/>
          <w:szCs w:val="26"/>
        </w:rPr>
        <w:t xml:space="preserve">. Возмещение победителем аукциона расходов по определению рыночной стоимости муниципального имущества в сумме </w:t>
      </w:r>
      <w:r>
        <w:t xml:space="preserve">12 000 (двенадцать тысяч)</w:t>
      </w:r>
      <w:r>
        <w:rPr>
          <w:color w:val="000000"/>
        </w:rPr>
        <w:t xml:space="preserve"> 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>
        <w:rPr>
          <w:color w:val="000000" w:themeColor="text1"/>
          <w:sz w:val="26"/>
          <w:szCs w:val="26"/>
        </w:rPr>
        <w:t xml:space="preserve">Произвести необходимые действия по организации и проведению </w:t>
      </w:r>
      <w:r>
        <w:rPr>
          <w:color w:val="000000" w:themeColor="text1"/>
          <w:sz w:val="26"/>
          <w:szCs w:val="26"/>
        </w:rPr>
        <w:t xml:space="preserve">торгов</w:t>
      </w:r>
      <w:r>
        <w:rPr>
          <w:color w:val="000000" w:themeColor="text1"/>
          <w:sz w:val="26"/>
          <w:szCs w:val="26"/>
        </w:rPr>
        <w:t xml:space="preserve"> по продаже муниципального имущества.       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Разместить настоящее постановление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азместить</w:t>
      </w:r>
      <w:r>
        <w:rPr>
          <w:color w:val="000000" w:themeColor="text1"/>
          <w:sz w:val="26"/>
          <w:szCs w:val="26"/>
        </w:rPr>
        <w:t xml:space="preserve"> настоящее постановление </w:t>
      </w:r>
      <w:r>
        <w:rPr>
          <w:color w:val="000000" w:themeColor="text1"/>
          <w:sz w:val="26"/>
          <w:szCs w:val="26"/>
        </w:rPr>
        <w:t xml:space="preserve">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МО «</w:t>
      </w:r>
      <w:r>
        <w:rPr>
          <w:color w:val="000000" w:themeColor="text1"/>
          <w:sz w:val="26"/>
          <w:szCs w:val="26"/>
        </w:rPr>
        <w:t xml:space="preserve">Фалилеевское сельское поселение</w:t>
      </w:r>
      <w:r>
        <w:rPr>
          <w:color w:val="000000" w:themeColor="text1"/>
          <w:sz w:val="26"/>
          <w:szCs w:val="26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0"/>
      <w:r>
        <w:rPr>
          <w:color w:val="000000" w:themeColor="text1"/>
          <w:sz w:val="26"/>
          <w:szCs w:val="26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лава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                                </w:t>
      </w:r>
      <w:r>
        <w:rPr>
          <w:color w:val="000000" w:themeColor="text1"/>
        </w:rPr>
        <w:t xml:space="preserve">С.Г.Филиппова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609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18"/>
    <w:uiPriority w:val="99"/>
  </w:style>
  <w:style w:type="character" w:styleId="45">
    <w:name w:val="Footer Char"/>
    <w:basedOn w:val="699"/>
    <w:link w:val="714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rPr>
      <w:sz w:val="24"/>
      <w:szCs w:val="24"/>
      <w:lang w:eastAsia="ar-SA"/>
    </w:rPr>
  </w:style>
  <w:style w:type="paragraph" w:styleId="698">
    <w:name w:val="Heading 1"/>
    <w:basedOn w:val="697"/>
    <w:next w:val="697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WW8Num1z0"/>
    <w:rPr>
      <w:rFonts w:ascii="Symbol" w:hAnsi="Symbol" w:cs="Symbol"/>
    </w:rPr>
  </w:style>
  <w:style w:type="character" w:styleId="703" w:customStyle="1">
    <w:name w:val="WW8Num1z1"/>
    <w:rPr>
      <w:rFonts w:ascii="Courier New" w:hAnsi="Courier New" w:cs="Courier New"/>
    </w:rPr>
  </w:style>
  <w:style w:type="character" w:styleId="704" w:customStyle="1">
    <w:name w:val="WW8Num1z2"/>
    <w:rPr>
      <w:rFonts w:ascii="Wingdings" w:hAnsi="Wingdings" w:cs="Wingdings"/>
    </w:rPr>
  </w:style>
  <w:style w:type="character" w:styleId="705" w:customStyle="1">
    <w:name w:val="Основной шрифт абзаца1"/>
  </w:style>
  <w:style w:type="character" w:styleId="706">
    <w:name w:val="page number"/>
    <w:basedOn w:val="705"/>
  </w:style>
  <w:style w:type="character" w:styleId="707" w:customStyle="1">
    <w:name w:val="WW8Num2z0"/>
    <w:rPr>
      <w:rFonts w:ascii="Symbol" w:hAnsi="Symbol" w:cs="Symbol"/>
    </w:rPr>
  </w:style>
  <w:style w:type="paragraph" w:styleId="708" w:customStyle="1">
    <w:name w:val="Заголовок"/>
    <w:basedOn w:val="697"/>
    <w:next w:val="70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09">
    <w:name w:val="Body Text"/>
    <w:basedOn w:val="697"/>
    <w:pPr>
      <w:spacing w:after="120"/>
    </w:pPr>
  </w:style>
  <w:style w:type="paragraph" w:styleId="710">
    <w:name w:val="List"/>
    <w:basedOn w:val="709"/>
    <w:rPr>
      <w:rFonts w:cs="Mangal"/>
    </w:rPr>
  </w:style>
  <w:style w:type="paragraph" w:styleId="711" w:customStyle="1">
    <w:name w:val="Название1"/>
    <w:basedOn w:val="697"/>
    <w:pPr>
      <w:spacing w:before="120" w:after="120"/>
      <w:suppressLineNumbers/>
    </w:pPr>
    <w:rPr>
      <w:rFonts w:cs="Mangal"/>
      <w:i/>
      <w:iCs/>
    </w:rPr>
  </w:style>
  <w:style w:type="paragraph" w:styleId="712" w:customStyle="1">
    <w:name w:val="Указатель1"/>
    <w:basedOn w:val="697"/>
    <w:pPr>
      <w:suppressLineNumbers/>
    </w:pPr>
    <w:rPr>
      <w:rFonts w:cs="Mangal"/>
    </w:rPr>
  </w:style>
  <w:style w:type="paragraph" w:styleId="713" w:customStyle="1">
    <w:name w:val="Таблица 1"/>
    <w:basedOn w:val="697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4">
    <w:name w:val="Footer"/>
    <w:basedOn w:val="697"/>
    <w:link w:val="724"/>
    <w:uiPriority w:val="99"/>
    <w:pPr>
      <w:tabs>
        <w:tab w:val="center" w:pos="4677" w:leader="none"/>
        <w:tab w:val="right" w:pos="9355" w:leader="none"/>
      </w:tabs>
    </w:pPr>
  </w:style>
  <w:style w:type="paragraph" w:styleId="715" w:customStyle="1">
    <w:name w:val="Содержимое врезки"/>
    <w:basedOn w:val="709"/>
  </w:style>
  <w:style w:type="paragraph" w:styleId="716" w:customStyle="1">
    <w:name w:val="Содержимое таблицы"/>
    <w:basedOn w:val="697"/>
    <w:pPr>
      <w:suppressLineNumbers/>
    </w:pPr>
  </w:style>
  <w:style w:type="paragraph" w:styleId="717" w:customStyle="1">
    <w:name w:val="Заголовок таблицы"/>
    <w:basedOn w:val="716"/>
    <w:pPr>
      <w:jc w:val="center"/>
    </w:pPr>
    <w:rPr>
      <w:b/>
      <w:bCs/>
    </w:rPr>
  </w:style>
  <w:style w:type="paragraph" w:styleId="718">
    <w:name w:val="Header"/>
    <w:basedOn w:val="697"/>
    <w:pPr>
      <w:tabs>
        <w:tab w:val="center" w:pos="4819" w:leader="none"/>
        <w:tab w:val="right" w:pos="9638" w:leader="none"/>
      </w:tabs>
      <w:suppressLineNumbers/>
    </w:pPr>
  </w:style>
  <w:style w:type="paragraph" w:styleId="719">
    <w:name w:val="Balloon Text"/>
    <w:basedOn w:val="697"/>
    <w:link w:val="720"/>
    <w:uiPriority w:val="99"/>
    <w:semiHidden/>
    <w:unhideWhenUsed/>
    <w:rPr>
      <w:rFonts w:ascii="Tahoma" w:hAnsi="Tahoma" w:cs="Tahoma"/>
      <w:sz w:val="16"/>
      <w:szCs w:val="16"/>
    </w:rPr>
  </w:style>
  <w:style w:type="character" w:styleId="720" w:customStyle="1">
    <w:name w:val="Текст выноски Знак"/>
    <w:basedOn w:val="699"/>
    <w:link w:val="71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1" w:customStyle="1">
    <w:name w:val="western"/>
    <w:basedOn w:val="697"/>
    <w:pPr>
      <w:spacing w:before="100" w:beforeAutospacing="1" w:after="100" w:afterAutospacing="1"/>
    </w:pPr>
    <w:rPr>
      <w:lang w:eastAsia="ru-RU"/>
    </w:rPr>
  </w:style>
  <w:style w:type="character" w:styleId="722" w:customStyle="1">
    <w:name w:val="apple-converted-space"/>
    <w:basedOn w:val="699"/>
  </w:style>
  <w:style w:type="paragraph" w:styleId="723">
    <w:name w:val="Normal (Web)"/>
    <w:basedOn w:val="697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Нижний колонтитул Знак"/>
    <w:basedOn w:val="699"/>
    <w:link w:val="714"/>
    <w:uiPriority w:val="99"/>
    <w:rPr>
      <w:sz w:val="24"/>
      <w:szCs w:val="24"/>
      <w:lang w:eastAsia="ar-SA"/>
    </w:rPr>
  </w:style>
  <w:style w:type="paragraph" w:styleId="725" w:customStyle="1">
    <w:name w:val="p9"/>
    <w:basedOn w:val="697"/>
    <w:pPr>
      <w:spacing w:before="100" w:beforeAutospacing="1" w:after="100" w:afterAutospacing="1"/>
    </w:pPr>
    <w:rPr>
      <w:lang w:eastAsia="ru-RU"/>
    </w:rPr>
  </w:style>
  <w:style w:type="paragraph" w:styleId="726" w:customStyle="1">
    <w:name w:val="p10"/>
    <w:basedOn w:val="697"/>
    <w:pPr>
      <w:spacing w:before="100" w:beforeAutospacing="1" w:after="100" w:afterAutospacing="1"/>
    </w:pPr>
    <w:rPr>
      <w:lang w:eastAsia="ru-RU"/>
    </w:rPr>
  </w:style>
  <w:style w:type="character" w:styleId="727" w:customStyle="1">
    <w:name w:val="s2"/>
    <w:basedOn w:val="699"/>
  </w:style>
  <w:style w:type="character" w:styleId="728" w:customStyle="1">
    <w:name w:val="s3"/>
    <w:basedOn w:val="699"/>
  </w:style>
  <w:style w:type="paragraph" w:styleId="729">
    <w:name w:val="List Paragraph"/>
    <w:basedOn w:val="697"/>
    <w:uiPriority w:val="34"/>
    <w:qFormat/>
    <w:pPr>
      <w:contextualSpacing/>
      <w:ind w:left="720"/>
    </w:pPr>
  </w:style>
  <w:style w:type="character" w:styleId="730">
    <w:name w:val="Hyperlink"/>
    <w:basedOn w:val="6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consultant.ru/document/cons_doc_LAW_3515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30</cp:revision>
  <dcterms:created xsi:type="dcterms:W3CDTF">2020-10-20T14:52:00Z</dcterms:created>
  <dcterms:modified xsi:type="dcterms:W3CDTF">2025-04-15T13:37:27Z</dcterms:modified>
</cp:coreProperties>
</file>