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247"/>
        <w:jc w:val="center"/>
        <w:rPr>
          <w:b/>
          <w:sz w:val="44"/>
          <w:szCs w:val="44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76275" cy="838200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676275" cy="838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25pt;height:66.00pt;mso-wrap-distance-left:0.00pt;mso-wrap-distance-top:0.00pt;mso-wrap-distance-right:0.00pt;mso-wrap-distance-bottom:0.00pt;" stroked="f" strokeweight="0.75pt">
                <v:path textboxrect="0,0,0,0"/>
                <v:imagedata r:id="rId14" o:title=""/>
              </v:shape>
            </w:pict>
          </mc:Fallback>
        </mc:AlternateContent>
      </w:r>
      <w:r>
        <w:rPr>
          <w:b/>
          <w:sz w:val="44"/>
          <w:szCs w:val="44"/>
        </w:rPr>
      </w:r>
    </w:p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</w:t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«Фалилеевское сельское поселение»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«Кингисеппский муниципальный район»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</w:t>
      </w:r>
      <w:r>
        <w:rPr>
          <w:sz w:val="28"/>
          <w:szCs w:val="28"/>
        </w:rPr>
      </w:r>
    </w:p>
    <w:p>
      <w:pPr>
        <w:ind w:right="24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(пятый</w:t>
      </w:r>
      <w:r>
        <w:rPr>
          <w:sz w:val="28"/>
          <w:szCs w:val="28"/>
        </w:rPr>
        <w:t xml:space="preserve"> созыв)</w:t>
      </w:r>
      <w:r>
        <w:rPr>
          <w:sz w:val="28"/>
          <w:szCs w:val="28"/>
        </w:rPr>
      </w:r>
    </w:p>
    <w:p>
      <w:pPr>
        <w:ind w:right="24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47"/>
        <w:jc w:val="both"/>
        <w:tabs>
          <w:tab w:val="left" w:pos="6900" w:leader="none"/>
        </w:tabs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b/>
          <w:caps/>
          <w:sz w:val="28"/>
          <w:szCs w:val="28"/>
        </w:rPr>
        <w:t xml:space="preserve"> </w:t>
      </w:r>
      <w:r>
        <w:rPr>
          <w:sz w:val="28"/>
          <w:szCs w:val="20"/>
        </w:rPr>
      </w:r>
    </w:p>
    <w:p>
      <w:pPr>
        <w:ind w:right="247"/>
        <w:jc w:val="center"/>
        <w:keepNext/>
        <w:rPr>
          <w:b/>
          <w:caps/>
          <w:sz w:val="28"/>
          <w:szCs w:val="28"/>
        </w:rPr>
        <w:outlineLvl w:val="5"/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ind w:right="247"/>
        <w:jc w:val="center"/>
        <w:tabs>
          <w:tab w:val="left" w:pos="6900" w:leader="none"/>
        </w:tabs>
        <w:rPr>
          <w:sz w:val="28"/>
          <w:szCs w:val="20"/>
        </w:rPr>
      </w:pPr>
      <w:r>
        <w:rPr>
          <w:b/>
          <w:caps/>
          <w:sz w:val="28"/>
          <w:szCs w:val="28"/>
        </w:rPr>
        <w:t xml:space="preserve">Решение</w:t>
      </w:r>
      <w:r>
        <w:rPr>
          <w:b/>
          <w:caps/>
          <w:sz w:val="28"/>
          <w:szCs w:val="28"/>
        </w:rPr>
        <w:t xml:space="preserve"> </w:t>
      </w:r>
      <w:r>
        <w:rPr>
          <w:sz w:val="28"/>
          <w:szCs w:val="20"/>
        </w:rPr>
      </w:r>
    </w:p>
    <w:p>
      <w:pPr>
        <w:ind w:right="247"/>
        <w:jc w:val="center"/>
        <w:keepNext/>
        <w:rPr>
          <w:b/>
          <w:caps/>
          <w:sz w:val="28"/>
          <w:szCs w:val="28"/>
        </w:rPr>
        <w:outlineLvl w:val="5"/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ind w:right="247"/>
        <w:jc w:val="both"/>
        <w:keepNext/>
        <w:rPr>
          <w:b/>
          <w:caps/>
          <w:sz w:val="28"/>
          <w:szCs w:val="28"/>
        </w:rPr>
        <w:outlineLvl w:val="5"/>
      </w:pPr>
      <w:r>
        <w:rPr>
          <w:b/>
          <w:caps/>
          <w:sz w:val="20"/>
          <w:szCs w:val="20"/>
        </w:rPr>
        <w:t xml:space="preserve">от</w:t>
      </w:r>
      <w:r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13</w:t>
      </w:r>
      <w:r>
        <w:rPr>
          <w:b/>
          <w:caps/>
          <w:sz w:val="28"/>
          <w:szCs w:val="28"/>
        </w:rPr>
        <w:t xml:space="preserve">.</w:t>
      </w:r>
      <w:r>
        <w:rPr>
          <w:b/>
          <w:caps/>
          <w:sz w:val="28"/>
          <w:szCs w:val="28"/>
        </w:rPr>
        <w:t xml:space="preserve">02</w:t>
      </w:r>
      <w:r>
        <w:rPr>
          <w:b/>
          <w:caps/>
          <w:sz w:val="28"/>
          <w:szCs w:val="28"/>
        </w:rPr>
        <w:t xml:space="preserve">.202</w:t>
      </w:r>
      <w:r>
        <w:rPr>
          <w:b/>
          <w:caps/>
          <w:sz w:val="28"/>
          <w:szCs w:val="28"/>
        </w:rPr>
        <w:t xml:space="preserve">5</w:t>
      </w:r>
      <w:r>
        <w:rPr>
          <w:b/>
          <w:caps/>
          <w:sz w:val="28"/>
          <w:szCs w:val="28"/>
        </w:rPr>
        <w:t xml:space="preserve"> № </w:t>
      </w:r>
      <w:r>
        <w:rPr>
          <w:b/>
          <w:caps/>
          <w:sz w:val="28"/>
          <w:szCs w:val="28"/>
        </w:rPr>
        <w:t xml:space="preserve">37</w:t>
      </w:r>
      <w:r>
        <w:rPr>
          <w:b/>
          <w:caps/>
          <w:sz w:val="28"/>
          <w:szCs w:val="28"/>
        </w:rPr>
      </w:r>
    </w:p>
    <w:p>
      <w:pPr>
        <w:ind w:right="247"/>
        <w:jc w:val="both"/>
        <w:keepNext/>
        <w:rPr>
          <w:sz w:val="28"/>
          <w:szCs w:val="28"/>
        </w:rPr>
        <w:outlineLvl w:val="5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выполнении </w:t>
      </w:r>
      <w:r>
        <w:rPr>
          <w:b/>
          <w:sz w:val="28"/>
          <w:szCs w:val="28"/>
          <w:lang w:eastAsia="en-US"/>
        </w:rPr>
        <w:t xml:space="preserve"> прогнозного</w:t>
      </w:r>
      <w:r>
        <w:rPr>
          <w:b/>
          <w:sz w:val="28"/>
          <w:szCs w:val="28"/>
        </w:rPr>
        <w:t xml:space="preserve"> плана (программы) приватизации муниципального имущества 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«Фалилеевское сельское поселение»</w:t>
      </w:r>
      <w:r>
        <w:rPr>
          <w:b/>
          <w:sz w:val="28"/>
          <w:szCs w:val="28"/>
        </w:rPr>
        <w:t xml:space="preserve"> за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8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с Федеральным законом от 21.12.2001 г. № 178-ФЗ «О приватизации государственного и муниципального имущества», Постановлением Правительства РФ от 12 авг</w:t>
      </w:r>
      <w:r>
        <w:rPr>
          <w:color w:val="000000"/>
          <w:sz w:val="28"/>
          <w:szCs w:val="28"/>
        </w:rPr>
        <w:t xml:space="preserve">уста 2002 г. N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</w:t>
      </w:r>
      <w:r>
        <w:rPr>
          <w:color w:val="000000"/>
          <w:sz w:val="28"/>
          <w:szCs w:val="28"/>
        </w:rPr>
        <w:t xml:space="preserve">иализированном аукционе", на основании Прогнозного плана – программой приватизации муниципального имущества муниципального образования «Фалилеевское сельское поселение» муниципального образования «Кингисеппский муниципальный район Ленинградской области на </w:t>
      </w:r>
      <w:r>
        <w:rPr>
          <w:color w:val="000000"/>
          <w:sz w:val="28"/>
          <w:szCs w:val="28"/>
        </w:rPr>
        <w:t xml:space="preserve">20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 год, утвержденным решением Совета депутатов МО «Фалилеевское сельское поселение» от </w:t>
      </w:r>
      <w:r>
        <w:rPr>
          <w:color w:val="000000"/>
          <w:sz w:val="28"/>
          <w:szCs w:val="28"/>
        </w:rPr>
        <w:t xml:space="preserve">11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декабря </w:t>
      </w:r>
      <w:r>
        <w:rPr>
          <w:color w:val="000000"/>
          <w:sz w:val="28"/>
          <w:szCs w:val="28"/>
        </w:rPr>
        <w:t xml:space="preserve">20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</w:r>
    </w:p>
    <w:p>
      <w:pPr>
        <w:pStyle w:val="778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225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</w:p>
    <w:p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РЕШИЛ:</w:t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79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 выполнении</w:t>
      </w:r>
      <w:r>
        <w:rPr>
          <w:sz w:val="28"/>
          <w:szCs w:val="28"/>
          <w:lang w:eastAsia="en-US"/>
        </w:rPr>
        <w:t xml:space="preserve"> прогнозного</w:t>
      </w:r>
      <w:r>
        <w:rPr>
          <w:sz w:val="28"/>
          <w:szCs w:val="28"/>
        </w:rPr>
        <w:t xml:space="preserve"> плана (программы) приватизации муниципального имущества МО «Фалилеевское сельское поселение»  за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год, представленный администрацией МО «Фалилеевское сельское поселение» МО «Кингисеппский муниципальный район» Ленинградской 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79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 настоящее решение на официальном сайте МО «Фалилеевское сельское поселение»</w:t>
      </w:r>
      <w:r>
        <w:rPr>
          <w:sz w:val="28"/>
          <w:szCs w:val="28"/>
        </w:rPr>
        <w:t xml:space="preserve"> в информационно -телекоммуникационной сети «Интернет» </w:t>
      </w:r>
      <w:hyperlink r:id="rId15" w:tooltip="http://www.falileevo,ru" w:history="1">
        <w:r>
          <w:rPr>
            <w:rStyle w:val="777"/>
            <w:sz w:val="28"/>
            <w:szCs w:val="28"/>
            <w:lang w:val="en-US"/>
          </w:rPr>
          <w:t xml:space="preserve">www</w:t>
        </w:r>
        <w:r>
          <w:rPr>
            <w:rStyle w:val="777"/>
            <w:sz w:val="28"/>
            <w:szCs w:val="28"/>
          </w:rPr>
          <w:t xml:space="preserve">.</w:t>
        </w:r>
        <w:r>
          <w:rPr>
            <w:rStyle w:val="777"/>
            <w:sz w:val="28"/>
            <w:szCs w:val="28"/>
            <w:lang w:val="en-US"/>
          </w:rPr>
          <w:t xml:space="preserve">falileevo</w:t>
        </w:r>
        <w:r>
          <w:rPr>
            <w:rStyle w:val="777"/>
            <w:sz w:val="28"/>
            <w:szCs w:val="28"/>
          </w:rPr>
          <w:t xml:space="preserve">,</w:t>
        </w:r>
        <w:r>
          <w:rPr>
            <w:rStyle w:val="777"/>
            <w:sz w:val="28"/>
            <w:szCs w:val="28"/>
            <w:lang w:val="en-US"/>
          </w:rPr>
          <w:t xml:space="preserve">ru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79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решение вступает в силу с </w:t>
      </w:r>
      <w:r>
        <w:rPr>
          <w:sz w:val="28"/>
          <w:szCs w:val="28"/>
        </w:rPr>
        <w:t xml:space="preserve">момента</w:t>
      </w:r>
      <w:r>
        <w:rPr>
          <w:sz w:val="28"/>
          <w:szCs w:val="28"/>
        </w:rPr>
        <w:t xml:space="preserve"> его принятия</w:t>
      </w:r>
      <w:r>
        <w:rPr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Контроль исполнения решения возложить на постоянную депутатскую комиссию по бюджету, налогам, экономике, инвестициям, муниципальной собственности.</w:t>
      </w:r>
      <w:r>
        <w:rPr>
          <w:color w:val="000000"/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МО «Фалилеевское сельское поселение»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С. В. Филиппов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sectPr>
          <w:headerReference w:type="even" r:id="rId9"/>
          <w:headerReference w:type="first" r:id="rId10"/>
          <w:footerReference w:type="default" r:id="rId11"/>
          <w:footerReference w:type="even" r:id="rId12"/>
          <w:footerReference w:type="first" r:id="rId13"/>
          <w:footnotePr/>
          <w:endnotePr/>
          <w:type w:val="nextPage"/>
          <w:pgSz w:w="11906" w:h="16838" w:orient="portrait"/>
          <w:pgMar w:top="568" w:right="707" w:bottom="899" w:left="1701" w:header="708" w:footer="708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6"/>
        <w:ind w:right="0" w:firstLine="0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</w:r>
    </w:p>
    <w:tbl>
      <w:tblPr>
        <w:tblStyle w:val="772"/>
        <w:tblW w:w="0" w:type="auto"/>
        <w:tblInd w:w="117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637"/>
      </w:tblGrid>
      <w:tr>
        <w:tblPrEx/>
        <w:trPr>
          <w:trHeight w:val="821"/>
        </w:trPr>
        <w:tc>
          <w:tcPr>
            <w:tcW w:w="3853" w:type="dxa"/>
            <w:textDirection w:val="lrTb"/>
            <w:noWrap w:val="false"/>
          </w:tcPr>
          <w:p>
            <w:pPr>
              <w:pStyle w:val="776"/>
              <w:ind w:right="0" w:firstLine="0"/>
              <w:jc w:val="center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№ 1 к Решению Совета депутатов от </w:t>
            </w: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3.02</w:t>
            </w:r>
            <w:r>
              <w:rPr>
                <w:rFonts w:ascii="Times New Roman" w:hAnsi="Times New Roman"/>
              </w:rPr>
              <w:t xml:space="preserve">.202</w:t>
            </w: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  <w:t xml:space="preserve"> г</w:t>
            </w:r>
            <w:r>
              <w:rPr>
                <w:rFonts w:ascii="Times New Roman" w:hAnsi="Times New Roman"/>
              </w:rPr>
              <w:t xml:space="preserve">  №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37</w:t>
            </w:r>
            <w:bookmarkStart w:id="0" w:name="_GoBack"/>
            <w:r/>
            <w:bookmarkEnd w:id="0"/>
            <w:r/>
            <w:r>
              <w:rPr>
                <w:rFonts w:ascii="Times New Roman" w:hAnsi="Times New Roman"/>
              </w:rPr>
            </w:r>
          </w:p>
        </w:tc>
      </w:tr>
    </w:tbl>
    <w:p>
      <w:pPr>
        <w:pStyle w:val="776"/>
        <w:ind w:right="0" w:firstLine="0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76"/>
        <w:ind w:right="0" w:firstLine="0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452" w:right="1103"/>
        <w:jc w:val="center"/>
        <w:shd w:val="clear" w:color="auto" w:fill="ffffff"/>
        <w:tabs>
          <w:tab w:val="left" w:pos="13325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</w:t>
      </w:r>
      <w:r>
        <w:rPr>
          <w:b/>
          <w:bCs/>
          <w:sz w:val="28"/>
          <w:szCs w:val="28"/>
        </w:rPr>
      </w:r>
    </w:p>
    <w:p>
      <w:pPr>
        <w:ind w:left="1452" w:right="1320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выполнении прогнозного плана (программы) приватизации муниципального имущества </w:t>
      </w:r>
      <w:r>
        <w:rPr>
          <w:b/>
          <w:sz w:val="28"/>
          <w:szCs w:val="28"/>
        </w:rPr>
        <w:t xml:space="preserve">МО «Фалилее</w:t>
      </w:r>
      <w:r>
        <w:rPr>
          <w:b/>
          <w:sz w:val="28"/>
          <w:szCs w:val="28"/>
        </w:rPr>
        <w:t xml:space="preserve">вское сельское поселение» за 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год.</w:t>
      </w:r>
      <w:r>
        <w:rPr>
          <w:b/>
          <w:sz w:val="28"/>
          <w:szCs w:val="28"/>
        </w:rPr>
      </w:r>
    </w:p>
    <w:p>
      <w:pPr>
        <w:ind w:left="1452" w:right="1320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1452" w:right="1320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14978" w:type="dxa"/>
        <w:tblInd w:w="-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759"/>
        <w:gridCol w:w="1701"/>
        <w:gridCol w:w="1275"/>
        <w:gridCol w:w="1843"/>
        <w:gridCol w:w="1701"/>
        <w:gridCol w:w="1702"/>
        <w:gridCol w:w="3401"/>
      </w:tblGrid>
      <w:tr>
        <w:tblPrEx/>
        <w:trPr/>
        <w:tc>
          <w:tcPr>
            <w:tcBorders>
              <w:bottom w:val="single" w:color="auto" w:sz="4" w:space="0"/>
            </w:tcBorders>
            <w:tcW w:w="596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п/п</w:t>
            </w:r>
            <w:r>
              <w:rPr>
                <w:b/>
              </w:rPr>
            </w:r>
          </w:p>
        </w:tc>
        <w:tc>
          <w:tcPr>
            <w:tcBorders>
              <w:bottom w:val="single" w:color="auto" w:sz="4" w:space="0"/>
            </w:tcBorders>
            <w:tcW w:w="2759" w:type="dxa"/>
            <w:textDirection w:val="lrTb"/>
            <w:noWrap w:val="false"/>
          </w:tcPr>
          <w:p>
            <w:pPr>
              <w:ind w:left="125"/>
              <w:jc w:val="center"/>
              <w:shd w:val="clear" w:color="auto" w:fill="ffffff"/>
              <w:rPr>
                <w:b/>
              </w:rPr>
            </w:pPr>
            <w:r>
              <w:rPr>
                <w:b/>
                <w:bCs/>
              </w:rPr>
              <w:t xml:space="preserve">Объект приватизации</w:t>
            </w:r>
            <w:r>
              <w:rPr>
                <w:b/>
              </w:rPr>
            </w:r>
          </w:p>
        </w:tc>
        <w:tc>
          <w:tcPr>
            <w:tcBorders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ind w:firstLine="317"/>
              <w:jc w:val="center"/>
              <w:spacing w:line="274" w:lineRule="exact"/>
              <w:shd w:val="clear" w:color="auto" w:fill="ffffff"/>
              <w:rPr>
                <w:b/>
              </w:rPr>
            </w:pPr>
            <w:r>
              <w:rPr>
                <w:b/>
                <w:bCs/>
              </w:rPr>
              <w:t xml:space="preserve">Место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положение объекта приватизации</w:t>
            </w:r>
            <w:r>
              <w:rPr>
                <w:b/>
              </w:rPr>
            </w:r>
          </w:p>
        </w:tc>
        <w:tc>
          <w:tcPr>
            <w:tcBorders>
              <w:bottom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ind w:right="19"/>
              <w:jc w:val="center"/>
              <w:spacing w:line="274" w:lineRule="exact"/>
              <w:shd w:val="clear" w:color="auto" w:fill="ffffff"/>
              <w:rPr>
                <w:b/>
              </w:rPr>
            </w:pPr>
            <w:r>
              <w:rPr>
                <w:b/>
                <w:bCs/>
              </w:rPr>
              <w:t xml:space="preserve">Площадь,</w:t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Протяженность</w:t>
            </w:r>
            <w:r>
              <w:rPr>
                <w:bCs/>
              </w:rPr>
              <w:t xml:space="preserve"> </w:t>
            </w:r>
            <w:r>
              <w:rPr>
                <w:b/>
              </w:rPr>
              <w:t xml:space="preserve">кв.м.</w:t>
            </w:r>
            <w:r>
              <w:rPr>
                <w:b/>
                <w:bCs/>
              </w:rPr>
              <w:t xml:space="preserve"> /м.</w:t>
            </w:r>
            <w:r>
              <w:rPr>
                <w:b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Способ приватизации</w:t>
            </w:r>
            <w:r>
              <w:rPr>
                <w:b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74" w:lineRule="exact"/>
              <w:shd w:val="clear" w:color="auto" w:fill="ffffff"/>
              <w:rPr>
                <w:b/>
              </w:rPr>
            </w:pPr>
            <w:r>
              <w:rPr>
                <w:b/>
                <w:bCs/>
              </w:rPr>
              <w:t xml:space="preserve">Начальная (рыночная)</w:t>
            </w:r>
            <w:r>
              <w:rPr>
                <w:b/>
              </w:rPr>
            </w:r>
          </w:p>
          <w:p>
            <w:pPr>
              <w:jc w:val="center"/>
              <w:spacing w:line="274" w:lineRule="exact"/>
              <w:shd w:val="clear" w:color="auto" w:fill="ffffff"/>
              <w:rPr>
                <w:b/>
              </w:rPr>
            </w:pPr>
            <w:r>
              <w:rPr>
                <w:b/>
                <w:bCs/>
              </w:rPr>
              <w:t xml:space="preserve">цена объекта, руб.</w:t>
            </w:r>
            <w:r>
              <w:rPr>
                <w:b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ind w:left="67" w:right="72"/>
              <w:jc w:val="center"/>
              <w:spacing w:line="274" w:lineRule="exact"/>
              <w:shd w:val="clear" w:color="auto" w:fill="ffffff"/>
              <w:rPr>
                <w:b/>
              </w:rPr>
            </w:pPr>
            <w:r>
              <w:rPr>
                <w:b/>
                <w:bCs/>
              </w:rPr>
              <w:t xml:space="preserve">Продажная цена </w:t>
            </w:r>
            <w:r>
              <w:rPr>
                <w:b/>
              </w:rPr>
              <w:t xml:space="preserve">объекта, руб.</w:t>
            </w:r>
            <w:r>
              <w:rPr>
                <w:b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b/>
              </w:rPr>
            </w:pPr>
            <w:r>
              <w:rPr>
                <w:b/>
                <w:bCs/>
              </w:rPr>
              <w:t xml:space="preserve">Примечание</w:t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596" w:type="dxa"/>
            <w:textDirection w:val="lrTb"/>
            <w:noWrap w:val="false"/>
          </w:tcPr>
          <w:p>
            <w:pPr>
              <w:jc w:val="center"/>
            </w:pPr>
            <w:r>
              <w:t xml:space="preserve">1 </w:t>
            </w:r>
            <w:r/>
          </w:p>
        </w:tc>
        <w:tc>
          <w:tcPr>
            <w:tcW w:w="2759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Кадастровый номер 47:20:0512001:285, площадь 1175+\-12, категория земель: земли населенных пунктов; вид разрешенного использования: для существующей котельной; Местоположения: Ленинградская область, </w:t>
            </w:r>
            <w:r>
              <w:rPr>
                <w:sz w:val="28"/>
                <w:szCs w:val="28"/>
              </w:rPr>
              <w:t xml:space="preserve">Кингисеппский муниципальный район, Фалилеевское сельское поселение, дер.Домашово.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r/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jc w:val="both"/>
            </w:pPr>
            <w:r>
              <w:t xml:space="preserve"> </w:t>
            </w:r>
            <w:r/>
          </w:p>
          <w:p>
            <w:r/>
            <w:r/>
          </w:p>
        </w:tc>
        <w:tc>
          <w:tcPr>
            <w:tcW w:w="3401" w:type="dxa"/>
            <w:textDirection w:val="lrTb"/>
            <w:noWrap w:val="false"/>
          </w:tcPr>
          <w:p>
            <w:pPr>
              <w:ind w:right="120"/>
              <w:shd w:val="clear" w:color="auto" w:fill="ffffff"/>
              <w:rPr>
                <w:b/>
                <w:bCs/>
              </w:rPr>
            </w:pPr>
            <w:r>
              <w:rPr>
                <w:bCs/>
                <w:sz w:val="28"/>
                <w:szCs w:val="28"/>
              </w:rPr>
              <w:t xml:space="preserve">Не реализован</w:t>
            </w:r>
            <w:r>
              <w:rPr>
                <w:b/>
                <w:bCs/>
              </w:rPr>
            </w:r>
          </w:p>
          <w:p>
            <w:pPr>
              <w:ind w:right="120"/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r/>
            <w:r/>
          </w:p>
          <w:p>
            <w:r/>
            <w:r/>
          </w:p>
        </w:tc>
      </w:tr>
      <w:tr>
        <w:tblPrEx/>
        <w:trPr/>
        <w:tc>
          <w:tcPr>
            <w:tcW w:w="596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2759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Кадастровый номер 47:20:0509001:928, площадь – 49,6 кв.м., Российская Федерация, Ленинградская область, Кингисеппский муниципальный район, Фалилеевское сельское поселение, дер.Фалилеево, назначение: нежилое, этаж №1.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Российская Федерация, Ленинградская область, Кингисеппский муниципальный район, Фалилеевское сельское поселение, дер.Фалилее</w:t>
            </w:r>
            <w:r>
              <w:t xml:space="preserve">во здание 35, помещение 2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</w:pPr>
            <w:r>
              <w:t xml:space="preserve">49,6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продажа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426000,00</w:t>
            </w:r>
            <w:r>
              <w:rPr>
                <w:bCs/>
                <w:iCs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both"/>
            </w:pPr>
            <w:r>
              <w:t xml:space="preserve">426000,00</w:t>
            </w:r>
            <w:r/>
          </w:p>
        </w:tc>
        <w:tc>
          <w:tcPr>
            <w:tcW w:w="3401" w:type="dxa"/>
            <w:textDirection w:val="lrTb"/>
            <w:noWrap w:val="false"/>
          </w:tcPr>
          <w:p>
            <w:pPr>
              <w:ind w:right="120"/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Покупатель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bCs/>
                <w:sz w:val="28"/>
                <w:szCs w:val="28"/>
              </w:rPr>
              <w:t xml:space="preserve">ИП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Берлизев Олег Витальевич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ind w:right="120"/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ИНН 471601819000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596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2759" w:type="dxa"/>
            <w:textDirection w:val="lrTb"/>
            <w:noWrap w:val="false"/>
          </w:tcPr>
          <w:p>
            <w:pPr>
              <w:ind w:firstLin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Назначение: жилое, 1-этажный, общая площадь 22,4, инв.№ 15, лит.А, адрес объекта: Ленинградская область, Кингисеппский муниципальный район, Фалилеевское </w:t>
            </w:r>
            <w:r>
              <w:rPr>
                <w:sz w:val="28"/>
                <w:szCs w:val="28"/>
              </w:rPr>
              <w:t xml:space="preserve">сельское поселение, д.Домашово, д.18. Кадастровый номер: 47-47-18\013\2011-111</w:t>
            </w:r>
            <w:r>
              <w:rPr>
                <w:sz w:val="28"/>
                <w:szCs w:val="28"/>
              </w:rPr>
            </w:r>
          </w:p>
          <w:p>
            <w:pPr>
              <w:ind w:firstLin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Категория земель: земли населенных пункт</w:t>
            </w:r>
            <w:r>
              <w:rPr>
                <w:sz w:val="28"/>
                <w:szCs w:val="28"/>
              </w:rPr>
              <w:t xml:space="preserve">ов, разрешенное использование: для ведения личного подсобного хозяйства, общая площадь 2500 кв.м, адрес объект: Ленинградская область, Кингисеппский муниципальный район, Фалилеевское сельское поселение, д.Домашово, д.18. Кадастровый номер: 47:20:0502002:28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  <w:rPr>
                <w:bCs/>
                <w:iCs/>
              </w:rPr>
            </w:pPr>
            <w:r>
              <w:rPr>
                <w:bCs/>
                <w:iCs/>
              </w:rPr>
            </w:r>
            <w:r>
              <w:rPr>
                <w:bCs/>
                <w:iCs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3401" w:type="dxa"/>
            <w:textDirection w:val="lrTb"/>
            <w:noWrap w:val="false"/>
          </w:tcPr>
          <w:p>
            <w:pPr>
              <w:ind w:right="120"/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Не реализован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96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bottom w:val="single" w:color="auto" w:sz="4" w:space="0"/>
            </w:tcBorders>
            <w:tcW w:w="275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Назначение: жилое, этаж:2, адрес: Ленинградская область, </w:t>
            </w:r>
            <w:r>
              <w:rPr>
                <w:sz w:val="28"/>
                <w:szCs w:val="28"/>
              </w:rPr>
              <w:t xml:space="preserve">Кингисеппский муниципальный район, Фалилеевское сельское поселение, общая долевая собственность, доля в праве 3/8.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Ленинградская область, Кингисеппский </w:t>
            </w:r>
            <w:r>
              <w:rPr>
                <w:sz w:val="28"/>
                <w:szCs w:val="28"/>
              </w:rPr>
              <w:t xml:space="preserve">муниципальный район, Фалилеевское сельское поселение, дер.Фалилеево, дом </w:t>
            </w:r>
            <w:r>
              <w:rPr>
                <w:sz w:val="28"/>
                <w:szCs w:val="28"/>
              </w:rPr>
              <w:t xml:space="preserve">6 кв 65</w:t>
            </w:r>
            <w:r/>
          </w:p>
        </w:tc>
        <w:tc>
          <w:tcPr>
            <w:tcBorders>
              <w:bottom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</w:pPr>
            <w:r>
              <w:t xml:space="preserve">53,8</w:t>
            </w:r>
            <w:r/>
          </w:p>
        </w:tc>
        <w:tc>
          <w:tcPr>
            <w:tcBorders>
              <w:bottom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продажа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706000,00 руб</w:t>
            </w:r>
            <w:r>
              <w:rPr>
                <w:bCs/>
                <w:iCs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both"/>
            </w:pPr>
            <w:r>
              <w:t xml:space="preserve">706000,00 руб</w:t>
            </w:r>
            <w:r/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781"/>
              <w:widowControl w:val="off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Покупатель: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Минина Ольга 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новна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r>
          </w:p>
          <w:p>
            <w:r/>
            <w:r/>
          </w:p>
          <w:p>
            <w:pPr>
              <w:ind w:right="120"/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</w:tbl>
    <w:p>
      <w:pPr>
        <w:ind w:left="1452" w:right="1320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1452" w:right="1320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1452" w:right="1320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76"/>
        <w:ind w:left="300" w:right="0" w:firstLine="0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6838" w:h="11906" w:orient="landscape"/>
      <w:pgMar w:top="709" w:right="902" w:bottom="1701" w:left="56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6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rPr>
        <w:rStyle w:val="762"/>
      </w:rPr>
      <w:framePr w:wrap="around" w:vAnchor="text" w:hAnchor="margin" w:xAlign="center" w:y="1"/>
    </w:pPr>
    <w:r>
      <w:rPr>
        <w:rStyle w:val="762"/>
      </w:rPr>
      <w:fldChar w:fldCharType="begin"/>
    </w:r>
    <w:r>
      <w:rPr>
        <w:rStyle w:val="762"/>
      </w:rPr>
      <w:instrText xml:space="preserve">PAGE  </w:instrText>
    </w:r>
    <w:r>
      <w:rPr>
        <w:rStyle w:val="762"/>
      </w:rPr>
      <w:fldChar w:fldCharType="end"/>
    </w:r>
    <w:r>
      <w:rPr>
        <w:rStyle w:val="762"/>
      </w:rPr>
    </w:r>
  </w:p>
  <w:p>
    <w:pPr>
      <w:pStyle w:val="76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76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  <w:rPr>
        <w:rStyle w:val="762"/>
      </w:rPr>
      <w:framePr w:wrap="around" w:vAnchor="text" w:hAnchor="margin" w:xAlign="center" w:y="1"/>
    </w:pPr>
    <w:r>
      <w:rPr>
        <w:rStyle w:val="762"/>
      </w:rPr>
      <w:fldChar w:fldCharType="begin"/>
    </w:r>
    <w:r>
      <w:rPr>
        <w:rStyle w:val="762"/>
      </w:rPr>
      <w:instrText xml:space="preserve">PAGE  </w:instrText>
    </w:r>
    <w:r>
      <w:rPr>
        <w:rStyle w:val="762"/>
      </w:rPr>
      <w:fldChar w:fldCharType="end"/>
    </w:r>
    <w:r>
      <w:rPr>
        <w:rStyle w:val="762"/>
      </w:rPr>
    </w:r>
  </w:p>
  <w:p>
    <w:pPr>
      <w:pStyle w:val="76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  <w:tabs>
        <w:tab w:val="clear" w:pos="4677" w:leader="none"/>
        <w:tab w:val="left" w:pos="8070" w:leader="none"/>
        <w:tab w:val="clear" w:pos="9355" w:leader="none"/>
      </w:tabs>
    </w:pPr>
    <w: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80" w:hanging="480"/>
        <w:tabs>
          <w:tab w:val="num" w:pos="48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80" w:hanging="480"/>
        <w:tabs>
          <w:tab w:val="num" w:pos="780" w:leader="none"/>
        </w:tabs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320" w:hanging="720"/>
        <w:tabs>
          <w:tab w:val="num" w:pos="13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20" w:hanging="720"/>
        <w:tabs>
          <w:tab w:val="num" w:pos="16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80" w:hanging="1080"/>
        <w:tabs>
          <w:tab w:val="num" w:pos="22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580" w:hanging="1080"/>
        <w:tabs>
          <w:tab w:val="num" w:pos="25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440"/>
        <w:tabs>
          <w:tab w:val="num" w:pos="32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540" w:hanging="1440"/>
        <w:tabs>
          <w:tab w:val="num" w:pos="35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00" w:hanging="1800"/>
        <w:tabs>
          <w:tab w:val="num" w:pos="4200" w:leader="none"/>
        </w:tabs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95" w:hanging="435"/>
        <w:tabs>
          <w:tab w:val="num" w:pos="795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230" w:hanging="720"/>
        <w:tabs>
          <w:tab w:val="num" w:pos="1230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380" w:hanging="720"/>
        <w:tabs>
          <w:tab w:val="num" w:pos="138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90" w:hanging="1080"/>
        <w:tabs>
          <w:tab w:val="num" w:pos="189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040" w:hanging="1080"/>
        <w:tabs>
          <w:tab w:val="num" w:pos="204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550" w:hanging="1440"/>
        <w:tabs>
          <w:tab w:val="num" w:pos="255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060" w:hanging="1800"/>
        <w:tabs>
          <w:tab w:val="num" w:pos="306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210" w:hanging="1800"/>
        <w:tabs>
          <w:tab w:val="num" w:pos="321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720" w:hanging="2160"/>
        <w:tabs>
          <w:tab w:val="num" w:pos="3720" w:leader="none"/>
        </w:tabs>
      </w:pPr>
      <w:rPr>
        <w:rFonts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50"/>
    <w:next w:val="75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54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54"/>
    <w:link w:val="75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54"/>
    <w:link w:val="752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50"/>
    <w:next w:val="75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50"/>
    <w:next w:val="75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54"/>
    <w:link w:val="75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50"/>
    <w:next w:val="75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50"/>
    <w:next w:val="75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50"/>
    <w:next w:val="75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50"/>
    <w:next w:val="75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54"/>
    <w:link w:val="34"/>
    <w:uiPriority w:val="10"/>
    <w:rPr>
      <w:sz w:val="48"/>
      <w:szCs w:val="48"/>
    </w:rPr>
  </w:style>
  <w:style w:type="paragraph" w:styleId="36">
    <w:name w:val="Subtitle"/>
    <w:basedOn w:val="750"/>
    <w:next w:val="75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54"/>
    <w:link w:val="36"/>
    <w:uiPriority w:val="11"/>
    <w:rPr>
      <w:sz w:val="24"/>
      <w:szCs w:val="24"/>
    </w:rPr>
  </w:style>
  <w:style w:type="paragraph" w:styleId="38">
    <w:name w:val="Quote"/>
    <w:basedOn w:val="750"/>
    <w:next w:val="75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50"/>
    <w:next w:val="75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54"/>
    <w:link w:val="767"/>
    <w:uiPriority w:val="99"/>
  </w:style>
  <w:style w:type="character" w:styleId="45">
    <w:name w:val="Footer Char"/>
    <w:basedOn w:val="754"/>
    <w:link w:val="761"/>
    <w:uiPriority w:val="99"/>
  </w:style>
  <w:style w:type="paragraph" w:styleId="46">
    <w:name w:val="Caption"/>
    <w:basedOn w:val="750"/>
    <w:next w:val="7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61"/>
    <w:uiPriority w:val="99"/>
  </w:style>
  <w:style w:type="table" w:styleId="49">
    <w:name w:val="Table Grid Light"/>
    <w:basedOn w:val="7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63"/>
    <w:uiPriority w:val="99"/>
    <w:rPr>
      <w:sz w:val="18"/>
    </w:rPr>
  </w:style>
  <w:style w:type="character" w:styleId="179">
    <w:name w:val="Endnote Text Char"/>
    <w:link w:val="765"/>
    <w:uiPriority w:val="99"/>
    <w:rPr>
      <w:sz w:val="20"/>
    </w:rPr>
  </w:style>
  <w:style w:type="paragraph" w:styleId="181">
    <w:name w:val="toc 1"/>
    <w:basedOn w:val="750"/>
    <w:next w:val="75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50"/>
    <w:next w:val="75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50"/>
    <w:next w:val="75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50"/>
    <w:next w:val="75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50"/>
    <w:next w:val="75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50"/>
    <w:next w:val="75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50"/>
    <w:next w:val="75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50"/>
    <w:next w:val="75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50"/>
    <w:next w:val="75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50"/>
    <w:next w:val="750"/>
    <w:uiPriority w:val="99"/>
    <w:unhideWhenUsed/>
    <w:pPr>
      <w:spacing w:after="0" w:afterAutospacing="0"/>
    </w:pPr>
  </w:style>
  <w:style w:type="paragraph" w:styleId="750" w:default="1">
    <w:name w:val="Normal"/>
    <w:qFormat/>
    <w:rPr>
      <w:sz w:val="24"/>
      <w:szCs w:val="24"/>
    </w:rPr>
  </w:style>
  <w:style w:type="paragraph" w:styleId="751">
    <w:name w:val="Heading 2"/>
    <w:basedOn w:val="750"/>
    <w:next w:val="75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52">
    <w:name w:val="Heading 3"/>
    <w:basedOn w:val="750"/>
    <w:qFormat/>
    <w:pPr>
      <w:spacing w:before="300" w:after="100" w:line="240" w:lineRule="atLeast"/>
      <w:outlineLvl w:val="2"/>
    </w:pPr>
    <w:rPr>
      <w:rFonts w:ascii="Arial" w:hAnsi="Arial" w:cs="Arial"/>
      <w:b/>
      <w:color w:val="000000"/>
    </w:rPr>
  </w:style>
  <w:style w:type="paragraph" w:styleId="753">
    <w:name w:val="Heading 6"/>
    <w:basedOn w:val="750"/>
    <w:next w:val="750"/>
    <w:link w:val="769"/>
    <w:uiPriority w:val="9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styleId="754" w:default="1">
    <w:name w:val="Default Paragraph Font"/>
    <w:uiPriority w:val="1"/>
    <w:semiHidden/>
    <w:unhideWhenUsed/>
  </w:style>
  <w:style w:type="table" w:styleId="7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6" w:default="1">
    <w:name w:val="No List"/>
    <w:uiPriority w:val="99"/>
    <w:semiHidden/>
    <w:unhideWhenUsed/>
  </w:style>
  <w:style w:type="paragraph" w:styleId="757" w:customStyle="1">
    <w:name w:val="ConsPlusNormal"/>
    <w:pPr>
      <w:ind w:firstLine="720"/>
      <w:widowControl w:val="off"/>
    </w:pPr>
    <w:rPr>
      <w:rFonts w:ascii="Arial" w:hAnsi="Arial" w:cs="Arial"/>
    </w:rPr>
  </w:style>
  <w:style w:type="character" w:styleId="758">
    <w:name w:val="annotation reference"/>
    <w:semiHidden/>
    <w:rPr>
      <w:sz w:val="16"/>
      <w:szCs w:val="16"/>
    </w:rPr>
  </w:style>
  <w:style w:type="paragraph" w:styleId="759">
    <w:name w:val="annotation text"/>
    <w:basedOn w:val="750"/>
    <w:semiHidden/>
    <w:rPr>
      <w:sz w:val="20"/>
      <w:szCs w:val="20"/>
    </w:rPr>
  </w:style>
  <w:style w:type="paragraph" w:styleId="760">
    <w:name w:val="Balloon Text"/>
    <w:basedOn w:val="750"/>
    <w:semiHidden/>
    <w:rPr>
      <w:rFonts w:ascii="Tahoma" w:hAnsi="Tahoma" w:cs="Tahoma"/>
      <w:sz w:val="16"/>
      <w:szCs w:val="16"/>
    </w:rPr>
  </w:style>
  <w:style w:type="paragraph" w:styleId="761">
    <w:name w:val="Footer"/>
    <w:basedOn w:val="750"/>
    <w:link w:val="771"/>
    <w:uiPriority w:val="99"/>
    <w:pPr>
      <w:tabs>
        <w:tab w:val="center" w:pos="4677" w:leader="none"/>
        <w:tab w:val="right" w:pos="9355" w:leader="none"/>
      </w:tabs>
    </w:pPr>
  </w:style>
  <w:style w:type="character" w:styleId="762">
    <w:name w:val="page number"/>
    <w:basedOn w:val="754"/>
  </w:style>
  <w:style w:type="paragraph" w:styleId="763">
    <w:name w:val="footnote text"/>
    <w:basedOn w:val="750"/>
    <w:semiHidden/>
    <w:rPr>
      <w:sz w:val="20"/>
      <w:szCs w:val="20"/>
    </w:rPr>
  </w:style>
  <w:style w:type="character" w:styleId="764">
    <w:name w:val="footnote reference"/>
    <w:semiHidden/>
    <w:rPr>
      <w:vertAlign w:val="superscript"/>
    </w:rPr>
  </w:style>
  <w:style w:type="paragraph" w:styleId="765">
    <w:name w:val="endnote text"/>
    <w:basedOn w:val="750"/>
    <w:semiHidden/>
    <w:rPr>
      <w:sz w:val="20"/>
      <w:szCs w:val="20"/>
    </w:rPr>
  </w:style>
  <w:style w:type="character" w:styleId="766">
    <w:name w:val="endnote reference"/>
    <w:semiHidden/>
    <w:rPr>
      <w:vertAlign w:val="superscript"/>
    </w:rPr>
  </w:style>
  <w:style w:type="paragraph" w:styleId="767">
    <w:name w:val="Header"/>
    <w:basedOn w:val="750"/>
    <w:pPr>
      <w:tabs>
        <w:tab w:val="center" w:pos="4677" w:leader="none"/>
        <w:tab w:val="right" w:pos="9355" w:leader="none"/>
      </w:tabs>
    </w:pPr>
  </w:style>
  <w:style w:type="character" w:styleId="768" w:customStyle="1">
    <w:name w:val="Гипертекстовая ссылка"/>
    <w:rPr>
      <w:color w:val="008000"/>
    </w:rPr>
  </w:style>
  <w:style w:type="character" w:styleId="769" w:customStyle="1">
    <w:name w:val="Заголовок 6 Знак"/>
    <w:link w:val="753"/>
    <w:uiPriority w:val="9"/>
    <w:semiHidden/>
    <w:rPr>
      <w:rFonts w:ascii="Calibri" w:hAnsi="Calibri" w:eastAsia="Times New Roman" w:cs="Times New Roman"/>
      <w:b/>
      <w:bCs/>
      <w:sz w:val="22"/>
      <w:szCs w:val="22"/>
    </w:rPr>
  </w:style>
  <w:style w:type="paragraph" w:styleId="770" w:customStyle="1">
    <w:name w:val="Стиль"/>
    <w:pPr>
      <w:widowControl w:val="off"/>
    </w:pPr>
    <w:rPr>
      <w:rFonts w:ascii="Calibri" w:hAnsi="Calibri" w:cs="Calibri"/>
      <w:sz w:val="24"/>
      <w:szCs w:val="24"/>
    </w:rPr>
  </w:style>
  <w:style w:type="character" w:styleId="771" w:customStyle="1">
    <w:name w:val="Нижний колонтитул Знак"/>
    <w:link w:val="761"/>
    <w:uiPriority w:val="99"/>
    <w:rPr>
      <w:sz w:val="24"/>
      <w:szCs w:val="24"/>
    </w:rPr>
  </w:style>
  <w:style w:type="table" w:styleId="772">
    <w:name w:val="Table Grid"/>
    <w:basedOn w:val="755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73">
    <w:name w:val="Body Text"/>
    <w:basedOn w:val="750"/>
    <w:link w:val="774"/>
    <w:semiHidden/>
    <w:unhideWhenUsed/>
    <w:pPr>
      <w:jc w:val="both"/>
    </w:pPr>
    <w:rPr>
      <w:sz w:val="28"/>
    </w:rPr>
  </w:style>
  <w:style w:type="character" w:styleId="774" w:customStyle="1">
    <w:name w:val="Основной текст Знак"/>
    <w:link w:val="773"/>
    <w:semiHidden/>
    <w:rPr>
      <w:sz w:val="28"/>
      <w:szCs w:val="24"/>
    </w:rPr>
  </w:style>
  <w:style w:type="paragraph" w:styleId="775" w:customStyle="1">
    <w:name w:val="ConsPlusTitle"/>
    <w:pPr>
      <w:widowControl w:val="off"/>
    </w:pPr>
    <w:rPr>
      <w:b/>
      <w:bCs/>
      <w:sz w:val="24"/>
      <w:szCs w:val="24"/>
    </w:rPr>
  </w:style>
  <w:style w:type="paragraph" w:styleId="776" w:customStyle="1">
    <w:name w:val="ConsNormal"/>
    <w:pPr>
      <w:ind w:right="19772" w:firstLine="720"/>
      <w:widowControl w:val="off"/>
    </w:pPr>
    <w:rPr>
      <w:rFonts w:ascii="Arial" w:hAnsi="Arial"/>
      <w:lang w:eastAsia="en-US"/>
    </w:rPr>
  </w:style>
  <w:style w:type="character" w:styleId="777">
    <w:name w:val="Hyperlink"/>
    <w:basedOn w:val="754"/>
    <w:uiPriority w:val="99"/>
    <w:unhideWhenUsed/>
    <w:rPr>
      <w:color w:val="0000ff" w:themeColor="hyperlink"/>
      <w:u w:val="single"/>
    </w:rPr>
  </w:style>
  <w:style w:type="paragraph" w:styleId="778" w:customStyle="1">
    <w:name w:val="hcwo_main"/>
    <w:basedOn w:val="750"/>
    <w:pPr>
      <w:spacing w:before="100" w:beforeAutospacing="1" w:after="100" w:afterAutospacing="1"/>
    </w:pPr>
  </w:style>
  <w:style w:type="paragraph" w:styleId="779">
    <w:name w:val="List Paragraph"/>
    <w:basedOn w:val="750"/>
    <w:uiPriority w:val="34"/>
    <w:qFormat/>
    <w:pPr>
      <w:contextualSpacing/>
      <w:ind w:left="720"/>
    </w:pPr>
  </w:style>
  <w:style w:type="paragraph" w:styleId="780">
    <w:name w:val="Normal (Web)"/>
    <w:basedOn w:val="750"/>
    <w:uiPriority w:val="99"/>
    <w:semiHidden/>
    <w:unhideWhenUsed/>
    <w:pPr>
      <w:spacing w:before="100" w:beforeAutospacing="1" w:after="100" w:afterAutospacing="1"/>
    </w:pPr>
  </w:style>
  <w:style w:type="paragraph" w:styleId="781">
    <w:name w:val="No Spacing"/>
    <w:link w:val="782"/>
    <w:qFormat/>
    <w:rPr>
      <w:rFonts w:ascii="Calibri" w:hAnsi="Calibri"/>
      <w:sz w:val="22"/>
      <w:szCs w:val="22"/>
      <w:lang w:eastAsia="en-US"/>
    </w:rPr>
  </w:style>
  <w:style w:type="character" w:styleId="782" w:customStyle="1">
    <w:name w:val="Без интервала Знак"/>
    <w:link w:val="781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image" Target="media/image1.png"/><Relationship Id="rId15" Type="http://schemas.openxmlformats.org/officeDocument/2006/relationships/hyperlink" Target="http://www.falileevo,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DepFin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1</dc:title>
  <dc:creator>Nekrasov</dc:creator>
  <cp:lastModifiedBy>Аня Михайлова</cp:lastModifiedBy>
  <cp:revision>3</cp:revision>
  <dcterms:created xsi:type="dcterms:W3CDTF">2025-02-13T11:06:00Z</dcterms:created>
  <dcterms:modified xsi:type="dcterms:W3CDTF">2025-04-03T13:29:03Z</dcterms:modified>
</cp:coreProperties>
</file>