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160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eastAsia="en-US"/>
        </w:rPr>
      </w:r>
      <w:r>
        <w:rPr>
          <w:rFonts w:asciiTheme="minorHAnsi" w:hAnsiTheme="minorHAnsi" w:eastAsiaTheme="minorHAnsi" w:cstheme="minorBidi"/>
          <w:sz w:val="22"/>
          <w:szCs w:val="22"/>
          <w:lang w:eastAsia="en-US"/>
        </w:rPr>
      </w:r>
    </w:p>
    <w:p>
      <w:pPr>
        <w:jc w:val="center"/>
        <w:spacing w:after="16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Исчерпывающий перечень сведений,</w:t>
      </w:r>
      <w:r>
        <w:rPr>
          <w:rFonts w:eastAsiaTheme="minorHAnsi"/>
          <w:b/>
          <w:lang w:eastAsia="en-US"/>
        </w:rPr>
        <w:t xml:space="preserve"> которые могут запрашиваться контрольными (надзорными) органами у  контролируемого  лиц</w:t>
      </w:r>
      <w:r>
        <w:rPr>
          <w:rFonts w:eastAsiaTheme="minorHAnsi"/>
          <w:b/>
          <w:lang w:eastAsia="en-US"/>
        </w:rPr>
        <w:t xml:space="preserve">а</w:t>
      </w:r>
      <w:bookmarkStart w:id="0" w:name="_GoBack"/>
      <w:r/>
      <w:bookmarkEnd w:id="0"/>
      <w:r/>
      <w:r>
        <w:rPr>
          <w:rFonts w:eastAsiaTheme="minorHAnsi"/>
          <w:b/>
          <w:lang w:eastAsia="en-US"/>
        </w:rPr>
      </w:r>
    </w:p>
    <w:p>
      <w:pPr>
        <w:jc w:val="both"/>
        <w:spacing w:after="1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  <w:r>
        <w:rPr>
          <w:rFonts w:eastAsiaTheme="minorHAnsi"/>
          <w:lang w:eastAsia="en-US"/>
        </w:rPr>
      </w:r>
    </w:p>
    <w:p>
      <w:pPr>
        <w:jc w:val="both"/>
        <w:spacing w:after="1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все документы, касающиеся </w:t>
      </w:r>
      <w:r>
        <w:rPr>
          <w:rFonts w:eastAsiaTheme="minorHAnsi"/>
          <w:lang w:eastAsia="en-US"/>
        </w:rPr>
        <w:t xml:space="preserve">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</w:t>
      </w:r>
      <w:r>
        <w:rPr>
          <w:rFonts w:eastAsiaTheme="minorHAnsi"/>
          <w:lang w:eastAsia="en-US"/>
        </w:rPr>
        <w:t xml:space="preserve">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</w:t>
      </w:r>
      <w:r>
        <w:rPr>
          <w:rFonts w:eastAsiaTheme="minorHAnsi"/>
          <w:lang w:eastAsia="en-US"/>
        </w:rPr>
        <w:t xml:space="preserve">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  <w:r>
        <w:rPr>
          <w:rFonts w:eastAsiaTheme="minorHAnsi"/>
          <w:lang w:eastAsia="en-US"/>
        </w:rPr>
      </w:r>
    </w:p>
    <w:p>
      <w:pPr>
        <w:jc w:val="both"/>
        <w:spacing w:after="1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письменные объясне</w:t>
      </w:r>
      <w:r>
        <w:rPr>
          <w:rFonts w:eastAsiaTheme="minorHAnsi"/>
          <w:lang w:eastAsia="en-US"/>
        </w:rPr>
        <w:t xml:space="preserve">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</w:t>
      </w:r>
      <w:r>
        <w:rPr>
          <w:rFonts w:eastAsiaTheme="minorHAnsi"/>
          <w:lang w:eastAsia="en-US"/>
        </w:rPr>
        <w:t xml:space="preserve">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</w:t>
      </w:r>
      <w:r>
        <w:rPr>
          <w:rFonts w:eastAsiaTheme="minorHAnsi"/>
          <w:lang w:eastAsia="en-US"/>
        </w:rPr>
        <w:t xml:space="preserve">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</w:t>
      </w:r>
      <w:r>
        <w:rPr>
          <w:rFonts w:eastAsiaTheme="minorHAnsi"/>
          <w:lang w:eastAsia="en-US"/>
        </w:rPr>
        <w:t xml:space="preserve">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  <w:r>
        <w:rPr>
          <w:rFonts w:eastAsiaTheme="minorHAnsi"/>
          <w:lang w:eastAsia="en-US"/>
        </w:rPr>
      </w:r>
    </w:p>
    <w:p>
      <w:pPr>
        <w:jc w:val="both"/>
        <w:spacing w:after="1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</w:t>
      </w:r>
      <w:r>
        <w:rPr>
          <w:rFonts w:eastAsiaTheme="minorHAnsi"/>
          <w:lang w:eastAsia="en-US"/>
        </w:rPr>
        <w:t xml:space="preserve">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</w:t>
      </w:r>
      <w:r>
        <w:rPr>
          <w:rFonts w:eastAsiaTheme="minorHAnsi"/>
          <w:lang w:eastAsia="en-US"/>
        </w:rPr>
        <w:t xml:space="preserve">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  <w:r>
        <w:rPr>
          <w:rFonts w:eastAsiaTheme="minorHAnsi"/>
          <w:lang w:eastAsia="en-US"/>
        </w:rPr>
      </w:r>
    </w:p>
    <w:p>
      <w:pPr>
        <w:jc w:val="both"/>
        <w:spacing w:after="1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 в целях проведения оценки достоверности поступивших сведений о причинении вреда (ущерба) или об угрозе причинения </w:t>
      </w:r>
      <w:r>
        <w:rPr>
          <w:rFonts w:eastAsiaTheme="minorHAnsi"/>
          <w:lang w:eastAsia="en-US"/>
        </w:rPr>
        <w:t xml:space="preserve">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  <w:r>
        <w:rPr>
          <w:rFonts w:eastAsiaTheme="minorHAnsi"/>
          <w:lang w:eastAsia="en-US"/>
        </w:rPr>
      </w:r>
    </w:p>
    <w:p>
      <w:pPr>
        <w:jc w:val="both"/>
        <w:spacing w:after="1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6) в случае, если достоверность сведени</w:t>
      </w:r>
      <w:r>
        <w:rPr>
          <w:rFonts w:eastAsiaTheme="minorHAnsi"/>
          <w:lang w:eastAsia="en-US"/>
        </w:rPr>
        <w:t xml:space="preserve">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</w:t>
      </w:r>
      <w:r>
        <w:rPr>
          <w:rFonts w:eastAsiaTheme="minorHAnsi"/>
          <w:lang w:eastAsia="en-US"/>
        </w:rPr>
        <w:t xml:space="preserve">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  <w:r>
        <w:rPr>
          <w:rFonts w:eastAsiaTheme="minorHAnsi"/>
          <w:lang w:eastAsia="en-US"/>
        </w:rPr>
      </w:r>
    </w:p>
    <w:p>
      <w:pPr>
        <w:jc w:val="both"/>
        <w:spacing w:after="1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</w:t>
      </w:r>
      <w:r>
        <w:rPr>
          <w:rFonts w:eastAsiaTheme="minorHAnsi"/>
          <w:lang w:eastAsia="en-US"/>
        </w:rPr>
        <w:t xml:space="preserve">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</w:t>
      </w:r>
      <w:r>
        <w:rPr>
          <w:rFonts w:eastAsiaTheme="minorHAnsi"/>
          <w:lang w:eastAsia="en-US"/>
        </w:rPr>
        <w:t xml:space="preserve">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</w:t>
      </w:r>
      <w:r>
        <w:rPr>
          <w:rFonts w:eastAsiaTheme="minorHAnsi"/>
          <w:lang w:eastAsia="en-US"/>
        </w:rPr>
        <w:t xml:space="preserve">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  <w:r>
        <w:rPr>
          <w:rFonts w:eastAsiaTheme="minorHAnsi"/>
          <w:lang w:eastAsia="en-US"/>
        </w:rPr>
      </w:r>
    </w:p>
    <w:p>
      <w:pPr>
        <w:jc w:val="both"/>
        <w:spacing w:after="1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</w:t>
      </w:r>
      <w:r>
        <w:rPr>
          <w:rFonts w:eastAsiaTheme="minorHAnsi"/>
          <w:lang w:eastAsia="en-US"/>
        </w:rPr>
        <w:t xml:space="preserve">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  <w:r>
        <w:rPr>
          <w:rFonts w:eastAsiaTheme="minorHAnsi"/>
          <w:lang w:eastAsia="en-US"/>
        </w:rPr>
      </w:r>
    </w:p>
    <w:p>
      <w:pPr>
        <w:jc w:val="both"/>
        <w:spacing w:after="1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9) по результатам исполнения контролируемым лицом решения, принятого в со</w:t>
      </w:r>
      <w:r>
        <w:rPr>
          <w:rFonts w:eastAsiaTheme="minorHAnsi"/>
          <w:lang w:eastAsia="en-US"/>
        </w:rPr>
        <w:t xml:space="preserve">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  <w:r>
        <w:rPr>
          <w:rFonts w:eastAsiaTheme="minorHAnsi"/>
          <w:lang w:eastAsia="en-US"/>
        </w:rPr>
      </w:r>
    </w:p>
    <w:p>
      <w:pPr>
        <w:jc w:val="both"/>
        <w:spacing w:after="1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</w:t>
      </w:r>
      <w:r>
        <w:rPr>
          <w:rFonts w:eastAsiaTheme="minorHAnsi"/>
          <w:lang w:eastAsia="en-US"/>
        </w:rPr>
        <w:t xml:space="preserve">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</w:t>
      </w:r>
      <w:r>
        <w:rPr>
          <w:rFonts w:eastAsiaTheme="minorHAnsi"/>
          <w:lang w:eastAsia="en-US"/>
        </w:rPr>
        <w:t xml:space="preserve">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</w:t>
      </w:r>
      <w:r>
        <w:rPr>
          <w:rFonts w:eastAsiaTheme="minorHAnsi"/>
          <w:lang w:eastAsia="en-US"/>
        </w:rPr>
        <w:t xml:space="preserve">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  <w:r>
        <w:rPr>
          <w:rFonts w:eastAsiaTheme="minorHAnsi"/>
          <w:lang w:eastAsia="en-US"/>
        </w:rPr>
      </w:r>
    </w:p>
    <w:p>
      <w:pPr>
        <w:jc w:val="both"/>
        <w:spacing w:after="1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 осуществлении муниципального контроля должностные лица не вправе возлагать на контролируемых лиц обязанность по представлению:</w:t>
      </w:r>
      <w:r>
        <w:rPr>
          <w:rFonts w:eastAsiaTheme="minorHAnsi"/>
          <w:lang w:eastAsia="en-US"/>
        </w:rPr>
      </w:r>
    </w:p>
    <w:p>
      <w:pPr>
        <w:jc w:val="both"/>
        <w:spacing w:after="1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ресурсах;</w:t>
      </w:r>
      <w:r>
        <w:rPr>
          <w:rFonts w:eastAsiaTheme="minorHAnsi"/>
          <w:lang w:eastAsia="en-US"/>
        </w:rPr>
      </w:r>
    </w:p>
    <w:p>
      <w:pPr>
        <w:jc w:val="both"/>
        <w:spacing w:after="1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  <w:r>
        <w:rPr>
          <w:rFonts w:eastAsiaTheme="minorHAnsi"/>
          <w:lang w:eastAsia="en-US"/>
        </w:rPr>
      </w:r>
    </w:p>
    <w:p>
      <w:pPr>
        <w:jc w:val="both"/>
        <w:spacing w:after="1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  <w:r>
        <w:rPr>
          <w:rFonts w:eastAsiaTheme="minorHAnsi"/>
          <w:lang w:eastAsia="en-US"/>
        </w:rPr>
      </w:r>
    </w:p>
    <w:p>
      <w:pPr>
        <w:jc w:val="both"/>
        <w:spacing w:after="1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документов и (или) информации, включ</w:t>
      </w:r>
      <w:r>
        <w:rPr>
          <w:rFonts w:eastAsiaTheme="minorHAnsi"/>
          <w:lang w:eastAsia="en-US"/>
        </w:rPr>
        <w:t xml:space="preserve">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  <w:r>
        <w:rPr>
          <w:rFonts w:eastAsiaTheme="minorHAnsi"/>
          <w:lang w:eastAsia="en-US"/>
        </w:rPr>
      </w:r>
    </w:p>
    <w:p>
      <w:pPr>
        <w:jc w:val="both"/>
        <w:spacing w:after="160"/>
        <w:rPr>
          <w:bCs/>
          <w:iCs/>
          <w:sz w:val="20"/>
          <w:szCs w:val="20"/>
        </w:rPr>
      </w:pPr>
      <w:r>
        <w:rPr>
          <w:rFonts w:eastAsiaTheme="minorHAnsi"/>
          <w:lang w:eastAsia="en-US"/>
        </w:rPr>
        <w:t xml:space="preserve">5) документов, информации ранее даты начала проведения контрольного мероприятия</w:t>
      </w:r>
      <w:r>
        <w:rPr>
          <w:bCs/>
          <w:iCs/>
          <w:sz w:val="20"/>
          <w:szCs w:val="20"/>
        </w:rPr>
      </w:r>
    </w:p>
    <w:p>
      <w:pPr>
        <w:ind w:left="480"/>
        <w:jc w:val="both"/>
        <w:tabs>
          <w:tab w:val="left" w:pos="1680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left="480"/>
        <w:jc w:val="both"/>
        <w:tabs>
          <w:tab w:val="left" w:pos="1680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left="480"/>
        <w:jc w:val="both"/>
        <w:tabs>
          <w:tab w:val="left" w:pos="1680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left="480"/>
        <w:jc w:val="both"/>
        <w:tabs>
          <w:tab w:val="left" w:pos="1680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left="480"/>
        <w:jc w:val="both"/>
        <w:tabs>
          <w:tab w:val="left" w:pos="1680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left="480"/>
        <w:jc w:val="both"/>
        <w:tabs>
          <w:tab w:val="left" w:pos="1680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left="480"/>
        <w:jc w:val="both"/>
        <w:tabs>
          <w:tab w:val="left" w:pos="1680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left="480"/>
        <w:jc w:val="both"/>
        <w:tabs>
          <w:tab w:val="left" w:pos="1680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left="480"/>
        <w:jc w:val="both"/>
        <w:tabs>
          <w:tab w:val="left" w:pos="1680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left="480"/>
        <w:jc w:val="both"/>
        <w:tabs>
          <w:tab w:val="left" w:pos="1680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left="480"/>
        <w:jc w:val="both"/>
        <w:tabs>
          <w:tab w:val="left" w:pos="1680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sectPr>
      <w:footnotePr/>
      <w:endnotePr/>
      <w:type w:val="nextPage"/>
      <w:pgSz w:w="11906" w:h="16838" w:orient="portrait"/>
      <w:pgMar w:top="851" w:right="850" w:bottom="426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List Paragraph"/>
    <w:basedOn w:val="623"/>
    <w:uiPriority w:val="34"/>
    <w:qFormat/>
    <w:pPr>
      <w:contextualSpacing/>
      <w:ind w:left="720"/>
    </w:pPr>
  </w:style>
  <w:style w:type="paragraph" w:styleId="628">
    <w:name w:val="Balloon Text"/>
    <w:basedOn w:val="623"/>
    <w:link w:val="62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9" w:customStyle="1">
    <w:name w:val="Текст выноски Знак"/>
    <w:basedOn w:val="624"/>
    <w:link w:val="62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diakov.net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Аня Михайлова</cp:lastModifiedBy>
  <cp:revision>4</cp:revision>
  <dcterms:created xsi:type="dcterms:W3CDTF">2024-03-20T11:53:00Z</dcterms:created>
  <dcterms:modified xsi:type="dcterms:W3CDTF">2025-04-16T13:44:30Z</dcterms:modified>
</cp:coreProperties>
</file>