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28.03.2023 № 41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5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29.12.2022 № 148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 утверждении Регламента «По предоставлению на территории МО «Фалилеевское сельское поселение»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«Кингисеппский муниципальный район» Ленинградской области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«Организация предоставления во владение и (или) в пользование объектов имущества, включенны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Федеральный закон от 28.12.2009 № 381 «Об основах государственного регулирования торговой деятельности в Российской Федерации»; Постановлением Правительства Российской Федерации от 29.09.2010 № 772 «Об утверждении правил включ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Распоряжение Правительства Российской Федерац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 , администрация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ПОСТАНОВЛЯЕТ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57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Внести изменения в постановление от 29.12.2022 № 148 «Об утверждении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«По предоставлению на территории МО «Фалилеевское сельское поселение» МО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«Организация предоставления во владение и (или) в пользование объектов имущества, включенн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57"/>
        <w:ind w:left="9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1.1Читать название Регламента в новой редакции :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 владение и (или) в пользование объектов имущества, включен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без проведения торгов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57"/>
        <w:ind w:left="96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1.2.Читать приложение к постановление в новой редакции.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Постановление опубликовать на официальном сайте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http://www.falileevo.ru/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поселение»   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администрации МО «Фалилеевское сельское поселение» МО «Кингисеппский муниципальный район»  Ленинградской области по предоставлению муниципальной услуги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 владение и (или) в пользование объектов имущества, включен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без проведения торгов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(сокращенное наименование – Передача муниципального имущества субъектам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без проведения торгов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 – административный регламент, муниципальная услуга)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0" w:name="Par36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  <w:outlineLvl w:val="1"/>
      </w:pPr>
      <w:r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bookmarkEnd w:id="1"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2" w:name="Par38"/>
      <w:r/>
      <w:bookmarkEnd w:id="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bookmarkStart w:id="3" w:name="P54"/>
      <w:r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предоставлению во владение и (и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ли) в пользование объектов имущества,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при органе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Заявителями, имеющими право на получение муниципальной услуги, являются субъекты малого и среднего предпринимате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а также организации, образующие инфраст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– заявители).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не может оказываться субъектам малого и среднего предпринимательства: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являющимся участниками соглашений о разделе продукции;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осуществляющим предпринимательскую деятельность в сфере игорного бизнеса;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могут: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лица, действующие в соответствии с законом или учредительными документами от имени заявителя без доверенности;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представители, действующие от имени заявителя в силу полномочий на основании доверенности или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4" w:name="Par60"/>
      <w:r/>
      <w:bookmarkEnd w:id="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месте нахождения органов местного самоуправления Ленинградской области в лице администраций муниципальных районов Ленинградской области (далее – орган местного самоуправления, ОМСУ, Администрация), предоставляющих муниципальную услугу, организаций, участ</w:t>
      </w:r>
      <w:r>
        <w:rPr>
          <w:rFonts w:ascii="Times New Roman" w:hAnsi="Times New Roman" w:cs="Times New Roman"/>
          <w:sz w:val="24"/>
          <w:szCs w:val="24"/>
        </w:rPr>
        <w:t xml:space="preserve">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- сведения информационного характера), размещается: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Администраций;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obl.ru, </w:t>
      </w:r>
      <w:hyperlink r:id="rId13" w:tooltip="http://www.gosuslugi.ru" w:history="1">
        <w:r>
          <w:rPr>
            <w:rFonts w:ascii="Times New Roman" w:hAnsi="Times New Roman" w:eastAsia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992" w:leader="none"/>
          <w:tab w:val="center" w:pos="4677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/>
      <w:bookmarkStart w:id="5" w:name="Par130"/>
      <w:r/>
      <w:bookmarkEnd w:id="5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Полное наименование муниципальной услуги: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 во владение и (или) в пользование объектов имущества, включенных в перечень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Сокращенное наименование муниципальной услуги: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Передача муниципального имущества субъектам малого и среднего предпринимательства без проведения торгов.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Муниципальную услугу предоставляет: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МО «Фалилеевское сельское поселение» МО «Кингисеппский муниципальный район»  Ленинградской области.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предоставлении услуги участвуют: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Администрации;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 (при наличии соглашения);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 в Администрацию;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 услуги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посредством ПГУ ЛО/ЕПГУ – в Администрацию,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посредством сайта ОМСУ, МФЦ (при технической реализации) – в Администрацию,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по телефону – в Администрацию,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решение о заключении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передаче муниципального имущества МО «Фалилеевское сельское поселение» МО «Кингисеппский муниципальный район»  Ленинградской области (приложение 2 к административному регламенту) и направление заявителю 2-х экземпляров подписанного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проекта договора о передаче муниципального имущества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решение об отказе в предоставлении муниципальной услуги (приложение 3 к административному регламенту).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выдается: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Администрации;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посредством ПГУ ЛО/ЕПГУ (при технической реализации);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Срок предоставления муниципальной услуги составляет не более 22 рабочих дней со дня поступления заявления в Администрацию.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6" w:name="Par187"/>
      <w:r/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Гражданский </w:t>
      </w:r>
      <w:hyperlink r:id="rId14" w:tooltip="consultantplus://offline/ref=DA11CE06F38A708477A63B147D5169FD0CBA6C6CBC0DF18F83010A029A4EF7D763BDDB6CCB11637AD9A567EFFE0BX9I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кодекс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 (часть первая) от 30.11.1994 № 51-ФЗ;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Гражданский </w:t>
      </w:r>
      <w:hyperlink r:id="rId15" w:tooltip="consultantplus://offline/ref=DA11CE06F38A708477A63B147D5169FD0CBA6C6CBC0FF18F83010A029A4EF7D763BDDB6CCB11637AD9A567EFFE0BX9I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кодекс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Российской Федерации (часть вторая) от 26.01.1996 № 14-ФЗ;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</w:t>
      </w:r>
      <w:hyperlink r:id="rId16" w:tooltip="consultantplus://offline/ref=DA11CE06F38A708477A63B147D5169FD0CBA6968BD0FF18F83010A029A4EF7D763BDDB6CCB11637AD9A567EFFE0BX9I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закон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26.07.2006 № 135-ФЗ «О защите конкуренции»;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24.07.2007 № 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w:tooltip="#P395" w:anchor="P39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предоставлении муниципальной услуги (приложение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административному регламенту);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учредительные документы (при обращении юридического лица);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 заявителя (при обращении индивидуального предпринимателя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физического лица, применяющего специальный налоговый режим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оформленный в соответствии с дей</w:t>
      </w:r>
      <w:r>
        <w:rPr>
          <w:rFonts w:ascii="Times New Roman" w:hAnsi="Times New Roman" w:cs="Times New Roman"/>
          <w:sz w:val="24"/>
          <w:szCs w:val="24"/>
        </w:rP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личность. Д</w:t>
      </w:r>
      <w:r>
        <w:rPr>
          <w:rFonts w:ascii="Times New Roman" w:hAnsi="Times New Roman" w:cs="Times New Roman"/>
          <w:sz w:val="24"/>
          <w:szCs w:val="24"/>
        </w:rPr>
        <w:t xml:space="preserve">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 (ЕГРЮЛ);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выписка из Единого государственного реестра индивидуальных предпринимателей (ЕГРИП);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(выписка) о применении специального налогового режима «Налог на профессиональный доход» (для физических лиц, применяющих специальный налоговый режим);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(выписка) из Единого реестра субъектов малого и среднего предпринимательства – в отношении индивидуального предпринимателя или юридического лица.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сведения  из Единого государственного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2.7.1. Заявитель вправе представить документы, указанные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п. 2.7 административного регламента,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собственной инициативе.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211"/>
      <w:r/>
      <w:bookmarkStart w:id="8" w:name="Par226"/>
      <w:r/>
      <w:bookmarkEnd w:id="7"/>
      <w:r/>
      <w:bookmarkEnd w:id="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за исключением случаев,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предусмотренных пунктом 4 части 1 статьи 7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Администрация вправе: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2.8. 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ренду, безвозмездное пользование, доверительное управление объектов нежилого фонда, указанных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9" w:name="P124"/>
      <w:r/>
      <w:bookmarkEnd w:id="9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2.9. Основания для отказа в приеме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tooltip="#P112" w:anchor="P11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документы утратили силу на момент обращения за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-текст заявления не поддается прочтению, в заявлении отсутствуют идентификационные данные заявителя либо не указан адрес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неполное заполнение полей в форме заявления, в том числе в интерактивной форме заявления на ЕПГУ/ПГУ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заявление подано лицом, не уполномоченным на осуществление таких действий: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tooltip="#P54" w:anchor="P54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tooltip="#P109" w:anchor="P10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представленные заявителем документы недействительны/указанные в заявлении сведения недостоверны: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заявлении и (или) в представленных заявителем документах содержится ошибочная, противоречивая информация;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отсутствие права на предоставление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испрашиваемое заявителем имущество отсутствует в </w:t>
      </w:r>
      <w:hyperlink r:id="rId17" w:tooltip="consultantplus://offline/ref=DA11CE06F38A708477A62405685169FD0FBA6D6BB20FF18F83010A029A4EF7D771BD8360C9137D73DEB031BEBBE47CFA4D2F5BF8BE16870F0BX0I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испрашиваемое заявителем имущество находится в обременении у третьих лиц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в отношении такого имущества на день регистрации заявления принято решение о предоставлении на торгах;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отсутствуют основания для предоставления заявителю испрашиваемого имущества, включенного в </w:t>
      </w:r>
      <w:hyperlink r:id="rId18" w:tooltip="consultantplus://offline/ref=DA11CE06F38A708477A62405685169FD0FBA6D6BB20FF18F83010A029A4EF7D771BD8360C9137D73DEB031BEBBE47CFA4D2F5BF8BE16870F0BX0I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без проведения торгов;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0" w:name="P132"/>
      <w:r/>
      <w:bookmarkStart w:id="11" w:name="Par256"/>
      <w:r/>
      <w:bookmarkEnd w:id="10"/>
      <w:r/>
      <w:bookmarkEnd w:id="1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2.11. 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Срок регистрации заявления о предоставлении муниципальной услуги составляет в Администрации: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– в день поступления заявления в Администрацию;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заявления почтовой связью в Администрацию – в день поступления заявления в Администрацию;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в</w:t>
      </w:r>
      <w:r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 Требования к помещениям, в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2.14.10. Оборудование мест повышенного удобства с дополнительным местом для собаки – 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2.14.11. Характеристики помещени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(если услуга предоставляется посредством ЕПГУ и (или) ПГУ ЛО).</w:t>
      </w:r>
      <w:r>
        <w:rPr>
          <w:rFonts w:ascii="Times New Roman" w:hAnsi="Times New Roman" w:cs="Times New Roman" w:eastAsiaTheme="minorEastAsia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tooltip="#P200" w:anchor="P200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2.14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заявления и получении результата;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Согласований, необходимых для получения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2.17. Иные требования, в т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12" w:name="Par315"/>
      <w:r/>
      <w:bookmarkEnd w:id="12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процедур, требования к порядку их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выполнения, в том числе особенности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3.1.1. Предоставление муниципальной услуги включает в себя следующие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административные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прием и регистрация заявления о предоставлении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приложенными к нему документами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в течение 1 рабочего дня;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рассмотрение заявления и документов о предоставлении муниципальной услуги - в течение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принятие решения о предоставлении муниципальной услуги или об отказе в предоставлении муниципальной услуги - в течение 2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подготовка и подписание 2-х экземпляров проекта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договора о передаче муниципального имущества -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результата оказания муниципальной услуги -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1 рабочего дня.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 Прием и регистрация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3.1.2.1. Основанием для начала административной процедуры является поступление в Администрацию заявления и документов, установленных </w:t>
      </w:r>
      <w:hyperlink w:tooltip="#P109" w:anchor="P10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в случае отсутствия установленных п. 2.9 настоящего административного регламента оснований для отказа в приеме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регистрирует их в соответствии с правилами делопроизводства в течение не более 1 рабочего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дня предоставления (получения).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3.1.2.4. Критерии принятия решения: поступление в Администрацию</w:t>
      </w:r>
      <w:r>
        <w:rPr>
          <w:rFonts w:ascii="Calibri" w:hAnsi="Calibri"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заявления и документов о предоставлении муниципальной услуги способом, установленным п. 2.2 административного регламента.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3.1.2.5. Результат выполнения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- отказ в приеме заявления о предоставлении муниципальной услуги и прилагаемых к нему документов;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регистрация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 Рассмотрение заявления и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3.1.3.1. Основание для начала административной процедуры: поступление зарегистрированного заявления и документов работнику Администрации, ответственному за формирование проекта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3.1.3.2. Содержание административного действия, продолжительность и (или) максимальный срок его (их)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1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условиям на получение муниципальной услуги; в течение не более 1 рабочего дня со дня окончания первой административной процедуры;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2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формирование, направление межведомственного запроса (межведомстве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3 действие: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подготовка и представление проекта решения,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при Администрации создан координационный или совещательный орган в област</w:t>
      </w:r>
      <w:r>
        <w:rPr>
          <w:rFonts w:ascii="Times New Roman" w:hAnsi="Times New Roman" w:cs="Times New Roman"/>
          <w:sz w:val="24"/>
          <w:szCs w:val="24"/>
        </w:rPr>
        <w:t xml:space="preserve">и развития малого и среднего предпринимательства (далее – совещательный орган), проект решения готовится с учетом решения совещательного органа по рассматриваемому вопросу. Выписка из протокола заседания совещательного органа прилагается к проекту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административных действий составляет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более 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дней со дня окончания первой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специалистом оснований, перечисленных в </w:t>
      </w:r>
      <w:hyperlink w:tooltip="#P125" w:anchor="P12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2.8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рассмотрения заявления приостанавливается до принятия решения по ранее направленному заявлению.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принятия по ранее направленному заявлению решения об отказе в предоставлении муниципальной услуги, сроки рассмотрения поданного заявления возобновляются со дня, следующего за днем принятия указанного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3.1.3.3. Лицо, ответственное за выполнение административной процедуры: работник Администрации, ответственный за формирование проекта решения.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3.1.3.4. Критерии принятия решения: наличие (отсутствие) оснований для отказа в предоставлении муниципальной услуги, установленных </w:t>
      </w:r>
      <w:hyperlink w:tooltip="#P125" w:anchor="P12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3.1.3.5. Результат выполнения административной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проект решения Администрации о заключении договора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окончания второй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глава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3.1.4.5. Результат выполнения административной процедуры: подписание и регистрация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 о заключении договора (приложение 2 к административному регламенту) либо подписание решения об отказе в предоставлении муниципальной услуги (приложение 3 к административному регламенту).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>
        <w:rPr>
          <w:rFonts w:ascii="Times New Roman" w:hAnsi="Times New Roman" w:cs="Times New Roman"/>
          <w:sz w:val="24"/>
          <w:szCs w:val="24"/>
        </w:rPr>
        <w:t xml:space="preserve">Подготовка и подписание 2-х экземпляров проекта</w:t>
      </w:r>
      <w:r>
        <w:rPr>
          <w:rFonts w:ascii="Times New Roman" w:hAnsi="Times New Roman" w:cs="Times New Roman"/>
          <w:sz w:val="24"/>
          <w:szCs w:val="24"/>
        </w:rPr>
        <w:t xml:space="preserve"> договора о передаче муниципального имущества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издание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 заключении договора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передаче муниципального имущества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Содержание административного действия, продолжительность и (или) максимальный срок его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: подготовка и подписание 2-х экземпляров проекта договора должностным лицом Администрации, ответственным за подписание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договора, в течение не более 2 рабочих дней со дня окончания третьей административной процедуры;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глава Администрации,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 Администрации, ответственный за формирование проекта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работник канцелярии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решения: </w:t>
      </w:r>
      <w:r>
        <w:rPr>
          <w:rFonts w:ascii="Times New Roman" w:hAnsi="Times New Roman" w:cs="Times New Roman"/>
          <w:sz w:val="24"/>
          <w:szCs w:val="24"/>
        </w:rPr>
        <w:t xml:space="preserve">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3.1.5.5. Результат выполнения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подписание 2-х экземпляров проекта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договора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 Выдача результата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оказания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3.1.6.1. Основание для начала административной процедуры: </w:t>
      </w:r>
      <w:r>
        <w:rPr>
          <w:rFonts w:ascii="Times New Roman" w:hAnsi="Times New Roman" w:cs="Times New Roman"/>
          <w:sz w:val="24"/>
          <w:szCs w:val="24"/>
        </w:rPr>
        <w:t xml:space="preserve">подписание главой Администрации 2-х экземпляров проекта договора о передаче муниципального имущества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либо решения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3.1.6.2. Содержание административного действия, продолжительность и(или)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административного действия составляет не более 1 рабочего дня </w:t>
      </w:r>
      <w:r>
        <w:rPr>
          <w:rFonts w:ascii="Times New Roman" w:hAnsi="Times New Roman" w:cs="Times New Roman"/>
          <w:sz w:val="24"/>
          <w:szCs w:val="24"/>
        </w:rPr>
        <w:t xml:space="preserve">со дня окончания четвертой либо третьей, в случае принятия решения об отказе в предоставлении муниципальной услуги, административной процедуры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3.1.6.3. Лицо, ответственное за выполнение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 Администрации, ответственный за формирование проекта решения, работник канцелярии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3" w:name="Par396"/>
      <w:r/>
      <w:bookmarkStart w:id="14" w:name="Par413"/>
      <w:r/>
      <w:bookmarkEnd w:id="13"/>
      <w:r/>
      <w:bookmarkEnd w:id="14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15" w:name="Par368"/>
      <w:r/>
      <w:bookmarkEnd w:id="15"/>
      <w:r>
        <w:rPr>
          <w:rFonts w:ascii="Times New Roman" w:hAnsi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9" w:tooltip="consultantplus://offline/ref=E661085ED54F412FA5CA6470B032C1BB03910D6B0F4F493D44858794BC2CR1L" w:history="1">
        <w:r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№ 210-ФЗ, Федеральным </w:t>
      </w:r>
      <w:hyperlink r:id="rId20" w:tooltip="consultantplus://offline/ref=E661085ED54F412FA5CA6470B032C1BB0390056F0E46493D44858794BC2CR1L" w:history="1">
        <w:r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21" w:tooltip="consultantplus://offline/ref=E661085ED54F412FA5CA6470B032C1BB0094086E0444493D44858794BC2CR1L" w:history="1">
        <w:r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 xml:space="preserve">постановлением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без личной явки на прием в Администрацию.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пройти идентификацию и аутентификацию в ЕСИА;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3.2.5. В результате направления пакета электронных док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уведомляет заявителя о принятом решении с помощью указанных в заявле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3.2.7. В случае поступления всех документов, указанных в </w:t>
      </w:r>
      <w:hyperlink w:tooltip="#P99" w:anchor="P99" w:history="1">
        <w:r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 xml:space="preserve">п. 2.6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3.3.1. В случае если в выданных в результате предоставления муниц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документа, содержащего опечатки и(или) ошибки.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3.3.2.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(трех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рабочих дней со дня регистрации заявления об исправлении опечаток и(или) ошибок в выданных в результате предоставления муни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результатам рассмотрения обращений обратившемуся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предусмотренных настоящим административным регламе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Администрации несет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Администрации при предоставлении муниципальной услуги несут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действий (бездействия) органа, предоставляющего муниципальную услугу, должност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Предмет</w:t>
      </w:r>
      <w:r>
        <w:rPr>
          <w:rFonts w:ascii="Times New Roman" w:hAnsi="Times New Roman" w:cs="Times New Roman"/>
          <w:sz w:val="24"/>
          <w:szCs w:val="24"/>
        </w:rPr>
        <w:t xml:space="preserve">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(далее - многофункциональный центр) работника многофункционального центра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являются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том числе следующие случаи: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муниципальными правовыми актами для предоставления муниципальной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</w:t>
      </w:r>
      <w:r>
        <w:rPr>
          <w:rFonts w:ascii="Times New Roman" w:hAnsi="Times New Roman" w:cs="Times New Roman"/>
          <w:sz w:val="24"/>
          <w:szCs w:val="24"/>
        </w:rPr>
        <w:t xml:space="preserve">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</w:t>
      </w:r>
      <w:r>
        <w:rPr>
          <w:rFonts w:ascii="Times New Roman" w:hAnsi="Times New Roman" w:cs="Times New Roman"/>
          <w:sz w:val="24"/>
          <w:szCs w:val="24"/>
        </w:rPr>
        <w:t xml:space="preserve">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 от 27.07.2010 № 210-ФЗ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>
        <w:rPr>
          <w:rFonts w:ascii="Times New Roman" w:hAnsi="Times New Roman" w:cs="Times New Roman"/>
          <w:sz w:val="24"/>
          <w:szCs w:val="24"/>
        </w:rPr>
        <w:t xml:space="preserve">объеме в порядке, определенном частью 1.3 статьи 16 Федерального закона от 27.07.2010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4"/>
          <w:szCs w:val="24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tooltip="consultantplus://offline/ref=3779F1DC5F392D8D98A232B55A9D8E21D4EBB0DB57DEFD426D3B6B39D689A354BF45C6EF1DZ5XAJ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ч. 5 ст. 11.2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Федерального закона от 27.07.2010 № 210-ФЗ.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4"/>
          <w:szCs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</w:t>
      </w:r>
      <w:r>
        <w:rPr>
          <w:rFonts w:ascii="Times New Roman" w:hAnsi="Times New Roman" w:cs="Times New Roman"/>
          <w:sz w:val="24"/>
          <w:szCs w:val="24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cs="Times New Roman"/>
          <w:sz w:val="24"/>
          <w:szCs w:val="24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tooltip="consultantplus://offline/ref=3779F1DC5F392D8D98A232B55A9D8E21D4EBB0DB57DEFD426D3B6B39D689A354BF45C6E7Z1X4J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ст. 11.1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Жалоба, по</w:t>
      </w:r>
      <w:r>
        <w:rPr>
          <w:rFonts w:ascii="Times New Roman" w:hAnsi="Times New Roman" w:cs="Times New Roman"/>
          <w:sz w:val="24"/>
          <w:szCs w:val="24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rFonts w:ascii="Times New Roman" w:hAnsi="Times New Roman" w:cs="Times New Roman"/>
          <w:sz w:val="24"/>
          <w:szCs w:val="24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в удовлетворении жалобы отказывается.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eastAsia="Calibri" w:cs="Times New Roman"/>
          <w:sz w:val="24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случае установления 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  <w:outlineLvl w:val="1"/>
      </w:pPr>
      <w:r>
        <w:rPr>
          <w:rFonts w:ascii="Calibri" w:hAnsi="Calibri" w:eastAsia="Times New Roman" w:cs="Calibri"/>
          <w:sz w:val="24"/>
          <w:szCs w:val="24"/>
          <w:lang w:eastAsia="ru-RU"/>
        </w:rPr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Особенности выполнения административных процедур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многофункциональных центрах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определяет предмет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осуществляет ска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Администрацию: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tooltip="#P167" w:anchor="P167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сообщает заявителю о наличии оснований для отказа в приеме заявления и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предлагает заявителю устранить выявленные недостатки, после чего вновь обратиться за предоставлением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выдает заявителю </w:t>
      </w:r>
      <w:hyperlink r:id="rId24" w:tooltip="consultantplus://offline/ref=CA9257E5CCC33551DCBB24F1CA36C644A394154052C0B286176C8E000BC07E1CD19B759E16CB2E04F70028A298E879FD90C78172F3C92E35SFkAK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решение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4</w:t>
      </w:r>
      <w:r>
        <w:rPr>
          <w:rFonts w:ascii="Times New Roman" w:hAnsi="Times New Roman" w:cs="Times New Roman" w:eastAsiaTheme="minorEastAsia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указании заявителем места получения ответа (результата предоставления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6" w:name="P588"/>
      <w:r/>
      <w:bookmarkEnd w:id="1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  <w:outlineLvl w:val="1"/>
      </w:pPr>
      <w:r>
        <w:rPr>
          <w:rFonts w:ascii="Calibri" w:hAnsi="Calibri" w:eastAsia="Times New Roman" w:cs="Calibri"/>
          <w:sz w:val="24"/>
          <w:szCs w:val="24"/>
          <w:lang w:eastAsia="ru-RU"/>
        </w:rPr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850" w:bottom="1134" w:left="1276" w:header="720" w:footer="720" w:gutter="0"/>
          <w:cols w:num="1" w:sep="0" w:space="720" w:equalWidth="1"/>
          <w:docGrid w:linePitch="360"/>
          <w:titlePg/>
        </w:sectPr>
        <w:outlineLvl w:val="1"/>
      </w:pPr>
      <w:r>
        <w:rPr>
          <w:rFonts w:ascii="Calibri" w:hAnsi="Calibri" w:eastAsia="Times New Roman" w:cs="Calibri"/>
          <w:sz w:val="24"/>
          <w:szCs w:val="24"/>
          <w:lang w:eastAsia="ru-RU"/>
        </w:rPr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17" w:name="Par508"/>
      <w:r/>
      <w:bookmarkEnd w:id="17"/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Courier New" w:hAnsi="Courier New" w:cs="Courier New" w:eastAsiaTheme="minorEastAsia"/>
          <w:sz w:val="24"/>
          <w:szCs w:val="24"/>
          <w:lang w:eastAsia="ru-RU"/>
        </w:rPr>
        <w:t xml:space="preserve">                                        в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Администрацию____________________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от 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(полное наименование заявителя -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юридического лица или фамилия,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имя и отчество физического лица)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  <w:t xml:space="preserve">  ИНН____________________________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  <w:t xml:space="preserve">  (для юридических лиц и физических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               лиц, применяющих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    специальный налоговый режим)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ab/>
        <w:t xml:space="preserve">   ОГРН 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(для юридических лиц и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           индивидуальных предпринимателей)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2832" w:firstLine="708"/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Контактная информация:      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2832" w:firstLine="708"/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тел.___________________________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2832" w:firstLine="708"/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эл. почта______________________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/>
      <w:bookmarkStart w:id="18" w:name="Par524"/>
      <w:r/>
      <w:bookmarkEnd w:id="18"/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             ЗАЯВЛЕНИЕ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Прошу  предоставить  в аренду, безвозмездное пользование, доверительное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Управление  (ненужное  зачеркнуть) без проведения торгов объект нежилого фонда, расположенный по адресу: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      (указать адрес конкретного объекта)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Общей площадью ________ кв. м, этажность _________ сроком на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для использования под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Сведения о заявителе: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Местонахождение: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(для юридических лиц)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Адрес регистрации: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Адрес фактического проживания: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Паспорт: серия _____, номер ______, выданный «__» ____________ г.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(для физических лиц, в том числе индивидуальных предпринимателей)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Банковские реквизиты(для юридических лиц, индивидуальных предпринимателей):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ИНН ____________________, р/с 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Руководитель(для юридических лиц, индивидуальных предпринимателей)___________________ телефоны, факс: 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(должность, Ф.И.О.)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426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Вариант 1: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426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426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Вариант 2: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Вариант 3: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Заключить  договор  доверительного управления на условиях, содержащихся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 примерной  форме  договора  доверительного  управления  объекта нежилого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фонда,  утвержденной  муниципальным правовым актом администрацией МО ______,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согласен.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Приложение.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Комплект документов с описью.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Ответственный исполнитель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(должность, Ф.И.О., телефон)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Заявитель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(подпись лица, уполномоченного на подачу заявления от имени заявителя -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юридического лица, либо подпись заявителя - физического лица)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М.П.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выдать на руки в Администрации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выдать на руки в МФЦ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направить по почте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/>
      <w:bookmarkStart w:id="19" w:name="Par601"/>
      <w:r/>
      <w:bookmarkEnd w:id="19"/>
      <w:r/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(для физических лиц)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Я, 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(фамилия, имя, отчество субъекта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соответствии  с </w:t>
      </w:r>
      <w:hyperlink r:id="rId25" w:tooltip="consultantplus://offline/ref=E661085ED54F412FA5CA6470B032C1BB03930D6A0843493D44858794BCC1F3B37FEFC86A6441066B22RB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4 ст. 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 от  27.07.2006  № 152-ФЗ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персональных данных», зарегистрирован(а) по адресу: 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личность: 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(наименование документа, №, сведения о дате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выдачи документа и выдавшем его органе)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(Вариант: 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(фамилия, имя, отчество представителя субъекта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зарегистрирован ______ по адресу: 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личность: 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(наименование документа, №, сведения о дате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выдачи документа и выдавшем его органе)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Доверенность от «__» ______ _____ г. № ____ (или реквизиты иного документа,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подтверждающего полномочия представителя)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(указать цель обработки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даю согласие 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(указать наименование лица, получающего согласие субъекта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персональных данных)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находящемуся по адресу: 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обработку моих персональных данных, а именно: 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(указать перечень персональных данных, на обработку 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субъекта   персональных   данных),  то   есть   на   совершение   действий,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предусмотренных  </w:t>
      </w:r>
      <w:hyperlink r:id="rId26" w:tooltip="consultantplus://offline/ref=E661085ED54F412FA5CA6470B032C1BB03930D6A0843493D44858794BCC1F3B37FEFC86A6441066022R0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 3  ст. 3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27.07.2006 № 152-ФЗ «О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письменной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«__» ______________ ____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персональных данных: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_______________/____________________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(подпись)         (Ф.И.О.)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(постановление, распоряжение и т.п.)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заключении договора о передаче муниципального имущества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Приложение 3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</w:pPr>
      <w:r>
        <w:rPr>
          <w:rFonts w:ascii="Calibri" w:hAnsi="Calibri" w:eastAsia="Times New Roman" w:cs="Calibri"/>
          <w:sz w:val="24"/>
          <w:szCs w:val="24"/>
          <w:lang w:eastAsia="ru-RU"/>
        </w:rPr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 отказе в предоставлении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 ___________№_______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tbl>
      <w:tblPr>
        <w:tblW w:w="0" w:type="auto"/>
        <w:tblBorders>
          <w:bottom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редоставление во владение и (или) в пользование объектов имущества, включенных в перечень муниципаль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Данное решение может быть обжаловано в досудебном порядке путем направления жалобы в Администрацию, а также в судебном порядке.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Приложение 4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физического лица и адрес проживания / наименование организации и ИНН)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представителя заявителя и реквизиты доверенности)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услуги заявителю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_______________     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приеме документов: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</w:pPr>
      <w:r>
        <w:rPr>
          <w:rFonts w:ascii="Calibri" w:hAnsi="Calibri" w:eastAsia="Times New Roman" w:cs="Calibri"/>
          <w:sz w:val="24"/>
          <w:szCs w:val="24"/>
          <w:lang w:eastAsia="ru-RU"/>
        </w:rPr>
        <w:t xml:space="preserve">      ________________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  <w:tab/>
        <w:t xml:space="preserve">         ___________________________________________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  <w:tab/>
        <w:t xml:space="preserve">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ind w:firstLine="708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10"/>
      <w:footnotePr/>
      <w:endnotePr/>
      <w:type w:val="nextPage"/>
      <w:pgSz w:w="11905" w:h="16838" w:orient="portrait"/>
      <w:pgMar w:top="1134" w:right="1132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936900"/>
      <w:docPartObj>
        <w:docPartGallery w:val="Page Numbers (Top of Page)"/>
        <w:docPartUnique w:val="true"/>
      </w:docPartObj>
      <w:rPr/>
    </w:sdtPr>
    <w:sdtContent>
      <w:p>
        <w:pPr>
          <w:pStyle w:val="77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7073985"/>
      <w:docPartObj>
        <w:docPartGallery w:val="Page Numbers (Top of Page)"/>
        <w:docPartUnique w:val="true"/>
      </w:docPartObj>
      <w:rPr/>
    </w:sdtPr>
    <w:sdtContent>
      <w:p>
        <w:pPr>
          <w:pStyle w:val="77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6"/>
  </w:num>
  <w:num w:numId="9">
    <w:abstractNumId w:val="18"/>
  </w:num>
  <w:num w:numId="10">
    <w:abstractNumId w:val="19"/>
  </w:num>
  <w:num w:numId="11">
    <w:abstractNumId w:val="6"/>
  </w:num>
  <w:num w:numId="12">
    <w:abstractNumId w:val="21"/>
  </w:num>
  <w:num w:numId="13">
    <w:abstractNumId w:val="17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4"/>
  </w:num>
  <w:num w:numId="19">
    <w:abstractNumId w:val="24"/>
  </w:num>
  <w:num w:numId="20">
    <w:abstractNumId w:val="14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1"/>
    <w:next w:val="7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1"/>
    <w:next w:val="7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1"/>
    <w:next w:val="7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3"/>
    <w:link w:val="760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70"/>
    <w:uiPriority w:val="99"/>
  </w:style>
  <w:style w:type="character" w:styleId="45">
    <w:name w:val="Footer Char"/>
    <w:basedOn w:val="753"/>
    <w:link w:val="772"/>
    <w:uiPriority w:val="99"/>
  </w:style>
  <w:style w:type="paragraph" w:styleId="46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2"/>
    <w:basedOn w:val="751"/>
    <w:next w:val="751"/>
    <w:link w:val="769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53" w:default="1">
    <w:name w:val="Default Paragraph Font"/>
    <w:uiPriority w:val="1"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paragraph" w:styleId="756" w:customStyle="1">
    <w:name w:val="ConsPlusNormal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57">
    <w:name w:val="List Paragraph"/>
    <w:basedOn w:val="751"/>
    <w:uiPriority w:val="34"/>
    <w:qFormat/>
    <w:pPr>
      <w:contextualSpacing/>
      <w:ind w:left="720"/>
    </w:pPr>
  </w:style>
  <w:style w:type="table" w:styleId="75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9">
    <w:name w:val="Hyperlink"/>
    <w:basedOn w:val="753"/>
    <w:uiPriority w:val="99"/>
    <w:unhideWhenUsed/>
    <w:rPr>
      <w:color w:val="0000ff" w:themeColor="hyperlink"/>
      <w:u w:val="single"/>
    </w:rPr>
  </w:style>
  <w:style w:type="paragraph" w:styleId="760">
    <w:name w:val="Title"/>
    <w:basedOn w:val="751"/>
    <w:next w:val="751"/>
    <w:link w:val="7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1" w:customStyle="1">
    <w:name w:val="Название Знак"/>
    <w:basedOn w:val="753"/>
    <w:link w:val="7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2">
    <w:name w:val="annotation reference"/>
    <w:basedOn w:val="753"/>
    <w:uiPriority w:val="99"/>
    <w:semiHidden/>
    <w:unhideWhenUsed/>
    <w:rPr>
      <w:sz w:val="16"/>
      <w:szCs w:val="16"/>
    </w:rPr>
  </w:style>
  <w:style w:type="paragraph" w:styleId="763">
    <w:name w:val="annotation text"/>
    <w:basedOn w:val="751"/>
    <w:link w:val="7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4" w:customStyle="1">
    <w:name w:val="Текст примечания Знак"/>
    <w:basedOn w:val="753"/>
    <w:link w:val="763"/>
    <w:uiPriority w:val="99"/>
    <w:semiHidden/>
    <w:rPr>
      <w:sz w:val="20"/>
      <w:szCs w:val="20"/>
    </w:rPr>
  </w:style>
  <w:style w:type="paragraph" w:styleId="765">
    <w:name w:val="annotation subject"/>
    <w:basedOn w:val="763"/>
    <w:next w:val="763"/>
    <w:link w:val="766"/>
    <w:uiPriority w:val="99"/>
    <w:semiHidden/>
    <w:unhideWhenUsed/>
    <w:rPr>
      <w:b/>
      <w:bCs/>
    </w:rPr>
  </w:style>
  <w:style w:type="character" w:styleId="766" w:customStyle="1">
    <w:name w:val="Тема примечания Знак"/>
    <w:basedOn w:val="764"/>
    <w:link w:val="765"/>
    <w:uiPriority w:val="99"/>
    <w:semiHidden/>
    <w:rPr>
      <w:b/>
      <w:bCs/>
      <w:sz w:val="20"/>
      <w:szCs w:val="20"/>
    </w:rPr>
  </w:style>
  <w:style w:type="paragraph" w:styleId="767">
    <w:name w:val="Balloon Text"/>
    <w:basedOn w:val="751"/>
    <w:link w:val="7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8" w:customStyle="1">
    <w:name w:val="Текст выноски Знак"/>
    <w:basedOn w:val="753"/>
    <w:link w:val="767"/>
    <w:uiPriority w:val="99"/>
    <w:semiHidden/>
    <w:rPr>
      <w:rFonts w:ascii="Tahoma" w:hAnsi="Tahoma" w:cs="Tahoma"/>
      <w:sz w:val="16"/>
      <w:szCs w:val="16"/>
    </w:rPr>
  </w:style>
  <w:style w:type="character" w:styleId="769" w:customStyle="1">
    <w:name w:val="Заголовок 2 Знак"/>
    <w:basedOn w:val="753"/>
    <w:link w:val="752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70">
    <w:name w:val="Header"/>
    <w:basedOn w:val="751"/>
    <w:link w:val="7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1" w:customStyle="1">
    <w:name w:val="Верхний колонтитул Знак"/>
    <w:basedOn w:val="753"/>
    <w:link w:val="770"/>
    <w:uiPriority w:val="99"/>
  </w:style>
  <w:style w:type="paragraph" w:styleId="772">
    <w:name w:val="Footer"/>
    <w:basedOn w:val="751"/>
    <w:link w:val="7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3" w:customStyle="1">
    <w:name w:val="Нижний колонтитул Знак"/>
    <w:basedOn w:val="753"/>
    <w:link w:val="772"/>
    <w:uiPriority w:val="99"/>
  </w:style>
  <w:style w:type="paragraph" w:styleId="774">
    <w:name w:val="Normal (Web)"/>
    <w:basedOn w:val="751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77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77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777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78">
    <w:name w:val="Strong"/>
    <w:basedOn w:val="753"/>
    <w:uiPriority w:val="22"/>
    <w:qFormat/>
    <w:rPr>
      <w:b/>
      <w:bCs/>
    </w:rPr>
  </w:style>
  <w:style w:type="paragraph" w:styleId="779" w:customStyle="1">
    <w:name w:val="Название проектного документа"/>
    <w:basedOn w:val="751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A11CE06F38A708477A63B147D5169FD0CBA6C6CBC0DF18F83010A029A4EF7D763BDDB6CCB11637AD9A567EFFE0BX9I" TargetMode="External"/><Relationship Id="rId15" Type="http://schemas.openxmlformats.org/officeDocument/2006/relationships/hyperlink" Target="consultantplus://offline/ref=DA11CE06F38A708477A63B147D5169FD0CBA6C6CBC0FF18F83010A029A4EF7D763BDDB6CCB11637AD9A567EFFE0BX9I" TargetMode="External"/><Relationship Id="rId16" Type="http://schemas.openxmlformats.org/officeDocument/2006/relationships/hyperlink" Target="consultantplus://offline/ref=DA11CE06F38A708477A63B147D5169FD0CBA6968BD0FF18F83010A029A4EF7D763BDDB6CCB11637AD9A567EFFE0BX9I" TargetMode="External"/><Relationship Id="rId17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8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9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E661085ED54F412FA5CA6470B032C1BB0390056F0E46493D44858794BC2CR1L" TargetMode="External"/><Relationship Id="rId21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4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5" Type="http://schemas.openxmlformats.org/officeDocument/2006/relationships/hyperlink" Target="consultantplus://offline/ref=E661085ED54F412FA5CA6470B032C1BB03930D6A0843493D44858794BCC1F3B37FEFC86A6441066B22RBL" TargetMode="External"/><Relationship Id="rId26" Type="http://schemas.openxmlformats.org/officeDocument/2006/relationships/hyperlink" Target="consultantplus://offline/ref=E661085ED54F412FA5CA6470B032C1BB03930D6A0843493D44858794BCC1F3B37FEFC86A6441066022R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9612-DEEC-45F3-8233-4D53017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3</cp:revision>
  <dcterms:created xsi:type="dcterms:W3CDTF">2023-03-29T08:13:00Z</dcterms:created>
  <dcterms:modified xsi:type="dcterms:W3CDTF">2025-04-21T14:14:41Z</dcterms:modified>
</cp:coreProperties>
</file>