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29.12.2022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№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154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Согласование проведения ярмарки на публичной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ярмарочной площадке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«Фалилеевское сельское поселение»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Ленинградской области»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Федеральный закон от 28.12.2009 № 381 «Об основах государственного регулирования торговой деятельности в Российской Федерации»; Распоряжение Правительства Российской Федерац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ПОСТАНОВЛЯЕТ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 Утвердить Регламент «По предоставлению на территории МО «Фалилеевское сельское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поселение» МО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Согласование проведения ярмарки на публичной ярмарочной площадке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территории муниципального образования «Фалилеевское сельское поселение»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поселение»   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 предоставлению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территории МО «Фалилеевское сельское поселение» муниципального образования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Согласование проведения ярмарки на публичной ярмарочной площадке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1.1. 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1.2. Заявителями, имеющими право на получение муниципальной услуги,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юридические лица;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индивидуальные предприниматели.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Представлять интересы заявителя имеют право: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от имени юридических лиц: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лица, действующие в соответствии с законом или учредительными документами от имени юридического лица без доверенности;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представители юридических лиц в силу полномочий на основании доверенности или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от имени индивидуальных предпринимателей: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представители индивидуальных предпринимателей в силу полномочий на основании доверенности или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1.3. Информация о местонахождении органа местного самоуправления (далее – ОМСУ), предоставляющего муниципальную услугу, ОМСУ/организаций, учас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твующих в предоставлении услуги и не являющихся многофункциональными центрами предоставления государственных и муниципальных услуг (далее – Организации), графиках работы, контактных телефонах и т.д. (далее – сведения информационного характера) размещается: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сайте ОМСУ/Организации;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 / www.gosuslugi.ru;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2.1. Полное наименование муниципальной услуги: «Согласование проведения ярмарки на публичной ярмарочной площадке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2.1.1. Сокращенное наименование муниципальной услуги: «Согласование проведения ярмарки».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2.2. Муниципальную услугу предоставляет ОМСУ.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предоставлении муниципальной услуги участвуют: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Федеральная налоговая служба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ОМСУ/Организацию;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электронной форме через личный кабинет заявителя на ПГУ ЛО/ЕПГУ.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посредством ПГУ ЛО/ЕПГУ – в ОМСУ/Организацию, в МФЦ (при технической реализации);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по телефону – в ОМСУ/Организацию, в МФЦ;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посредством сайта ОМСУ/Организации – в ОМСУ/Организацию.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2.2.1. В целях предоставления муниципальной услуги установлени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фикации и аутентификации в ОМСУ/Организации, ГБУ ЛО "МФЦ"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согласование проведения ярмарки на публичной ярмарочной площа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дке на территории МО «Фалилеевское сельское поселение» МО «Кингисеппский муниципальный район» Ленинградской области. Формой результата предоставления муниципальной услуги является уведомление о согласовании проведения ярмарки (приложение № 2 к регламенту);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отказ в согласовании проведения ярмарки. Формой результата предоставления муниципальной услуги является уведомление об отказе в предоставлении муниципальной услуги (приложение № 3 к регламенту).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ОМСУ/Организацию;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на адрес электронной почты;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электронной форме через личный кабинет заявителя на ПГУ ЛО/ЕПГУ.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2.4. Срок предоставления муниципальной услуги составляет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более 5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с даты поступления (регистрации) заявления в ОМСУ/Организацию.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заявление о предоставлении услуги по форме в соответствии с приложением № 1 к регламенту.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</w:rPr>
        <w:t xml:space="preserve">не позднее семи рабочих дней до дня проведения ярмарки.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заявляется новая публичная ярмарочная площадка, организатор ярмарки  указывает в заявлении адресные ориентиры новой публичной ярмарочной площадки (с приложением графической </w:t>
      </w:r>
      <w:r>
        <w:rPr>
          <w:rFonts w:ascii="Times New Roman" w:hAnsi="Times New Roman" w:cs="Times New Roman"/>
          <w:sz w:val="24"/>
          <w:szCs w:val="24"/>
        </w:rPr>
        <w:t xml:space="preserve">схемы планируемой ярмарочной площадки на картографической основе), необходимую площадь, период и время работы ярмарки, а также иные требования к ярмарочной площадке.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ается исправление ошибок путем зачеркивания или с помощью корректирующих средств. Бланк заявления заявитель может получить у должностного лица ОМСУ/Организации. Заявитель вправе заполнить и распечатать бланк заявления на официальном сайте ОМСУ/Организации;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документ, удостоверяющий личность заявителя (необходим исключительно для идентификации личности и его копия не подлежит приобщению к делу о предоставлении муниципальной услуги): документы, удостоверяющие личность гражданина Российской Фед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(в случае подачи документов при личной явке предъявляются оригиналы документов).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Документ, удостоверяющий личность заявителя, не представляется при обращении представителя заявителя, а также при обращении без личной явки через ЕПГУ/ПГУ ЛО;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Представитель заявителя из числа уполномоченных лиц дополнительно представляет документ, удостоверяющий личность (в случае подачи документов при личной явке предъявляю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тся оригиналы документов (необходим исключительно для идентификации личности и его копия не подлежит приобщению к делу о предоставлении муниципальной услуги), в иных случаях документ не представляется), и документ, оформленный в соответствии с действующим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(в случае подачи документов при личной явке предъявляются оригин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алы документов (подлежат возврату заявителю во время приема сразу после снятия копий с указанных документов и их заверения специалистом, осуществляющим прием), в случае подачи документов без личной явки через ЕПГУ/ПГУ ЛО – скан-образы или фото документов);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Комитет/Отдел/Сектор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выписку из Единого государственного реестра юридических лиц в отношении заявителя – юридического лица в Федеральной налоговой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2.7.1. Заявитель вправе представить документы (сведения), указанные в пункте 2.7 настоящего регламента, по собственной инициативе.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ерации, нормативными правовыми актами субъектов Российской Федерации и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и(или) подведомстве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организации предоставления государственных и муниципальных услуг» (далее – Федеральный закон № 210-ФЗ);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представления документов и информации, отсутствие и(или) недостоверность которых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проводить мероприятия, направленные на подготовку результатов предоставления муниц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при условии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2.8. Ис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 срок подачи документов, установленный в соответствии с пунктом 2.11 Порядка, утвержденного Постановлением, – </w:t>
      </w:r>
      <w:r>
        <w:rPr>
          <w:rFonts w:ascii="Times New Roman" w:hAnsi="Times New Roman" w:cs="Times New Roman"/>
          <w:sz w:val="24"/>
          <w:szCs w:val="24"/>
        </w:rPr>
        <w:t xml:space="preserve">не позднее семи рабочих дней до дня проведения ярмарки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заявление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заявление на получение услуги оформлено не в соответствии с административным регламентом;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заявление подано в иной уполномоченный орган.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документов, поданные документы в течение трех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рабочих дней со дня поступления (регистрации) заявления возвращаются заявителю. При этом заявитель вправе повторно обратиться с документами о предоставлении муниципальной услуги после устранения причин, являвшихся основанием для отказа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Отсутствие права на предоставление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установление несоответствия испрашиваемой новой публичной ярмарочной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площадки градостроительному зонированию и (или) разрешенному использованию земельного участка либо установление невозможности, исходя из требований действующего законодательства, осуществления торговли на испрашиваемой новой публичной ярмарочной площадке;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несоответствие испрашиваемой новой публичной ярмарочной площадки санитарно-эпидемиологическим, ветеринарным требованиям, нормам и правилам пожарной безопасности;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испрашиваемая новая публичная ярмарочная площадка рас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4) отсутствие возможности проведения ярмарки в заявленную дату и (или) время в связи с проведением на публичной ярмарочной площадке иных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5) заявление и (или) сведения, представленные заявителем, не соответствуют установленным требованиям, либо содержат недостоверные или неполные сведения.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2.11.1. 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2.13. Срок регистрации запроса (заявления) заявителя о предоставлении муниципальной услуги составляет в ОМСУ/Организации: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 личном обращении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день поступления запроса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 направлении запроса на бумажном носителе из МФЦ в ОМСУ/Организацию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день передачи документов из МФЦ в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ОМСУ/Организацию;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 направлении запроса в форме электронного документа посредством ЕПГУ или ПГУ ЛО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день поступления запроса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ЕПГУ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 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2.14.1. Предоставление муниципальной услуги осуществляется в специально выделенных для этих целей помещениях ОМСУ/Организации или в МФЦ.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2.14.2. Наличие на те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2.14.7. При необходимости работником МФЦ, ОМСУ/Организации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2.14.11. Характеристики по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2.14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.15. До полного приспособления помещений, в которых предоставляется муниципальная услуга, под необходимые потребности инвалидов, заявителю, являющемуся инвалидом, муниципальная услуга предоставляется по месту жительства инвалида или в дистанционном режиме.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6) возможность получения муниципальной услуги посредством комплексного запроса.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наличие инфраструктуры, указанной в пункте 2.14;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соблюдение времени ожидания в очереди при подаче запроса и получении результата;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 ОМСУ/Организации или в МФЦ;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4) отсутствие жалоб на действия или бездействие должностных лиц ОМСУ/Организации, 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2.17. Иные требования, в т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 Состав, последовательность и сроки выполнения административных процедур, требования к порядку их выполнения.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прием и регистрация заявления о предоставлении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день поступления заявления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рассмотрение документов о предоставлении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течение 1 рабочего дня с момента поступления заявления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1 рабочий день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выдача результата предоставления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1 рабочий день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3.1.2.1. Основание для начала административной процедуры: поступление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ОМСУ заявления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предусмотренных пунктом 2.6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3.1.2.2. Содержание административных действий, продолжительность и(или) максимальный срок их выполнения: специалист Комитета/Отдела/Сектора, ответственный за прием докум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ентов, принимает представленные (направленные) заявителем документы и в тот же день регистрирует их в установленном в ОМСУ/Организации порядке; составляет опись документов, вручает копию описи заявителю под подпись (в случае личного обращения заявителя в 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МСУ/Организацию). При наличии оснований для отказа в приеме документов (в случае личного обращения заявителя с заявлением о предоставлении муниципальной услуги в ОМСУ/Организацию) специалист Комитета/Отдела/Сектора отказывает заявителю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3.1.2.3. Лицо, ответственное за выполнение административного действия: специалист Комитета/Отдела/Сектора, ответственный за прием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3.1.2.4. Результат выполнения административной процедуры: регистрация заявления  о предоставлении муниципальной услуги и прилагаемых к нему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3.1.3. Рассмотрение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их рассмотрение.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3.1.3.2. Содержание административных действий, продолжительность и (или) максимальный срок их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Проверка заявления, представленного заявителем, на соответствие установленным требованиям; формирование, направление межведомственного запроса (межведомственны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 и получение ответов на межведомственные запросы; проверка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полученных сведений на полноту и достоверность, оценка их соответствия требованиям и условиям на получение муниципальной услуги; подготовка проекта решения по итогам рассмотрения заявления и документов в течение 1 рабочего дня со дня поступления заявления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3.1.3.3. Лицо, ответственное за выполнение административной процедуры: ответственный специалист Комитета/Отдела/Сектора.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3.1.3.4. Критерии принятия решения: наличие/отсутствие у заявителя права на получение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тов должностным лицом, ответственным за принятие и подписание соответствующего решения (о предоставлении муниципальной услуги или об отказе в предоставлении муниципальной услуги), в течение 1 рабочего дня с даты окончания второй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3.1.4.4.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 Выдача результата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3.1.5.1. Основание для начала административной процедуры: подписанное решение, являющееся результатом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3.1.5.2. Лицо, ответственное за выполнение административной процедуры: специалист Комитета/Отдела/Сектора.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Комитета/О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тдела/Сектора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не позднее 1 рабочего дня с даты окончания третьей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3.2.3. Муниципальная услуга может быть получена через ПГУ ЛО либо через ЕПГУ без личной явки на прием в ОМСУ/Организацию.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пройти идентификацию и аутентификацию в ЕСИА;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приложить к заявлению электронные документы и направить пакет электронных документов в ОМСУ/Организацию посредством функционала ЕПГУ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3.2.6. При предоставлении муниципальной услуги через ПГУ ЛО либо через ЕПГУ, должностное лицо ОМСУ/Организации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уведомляет заявителя о принятом решении с помощью указанных в заявлении средств связи, затем направляет д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3.2.7. В случае пос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тупления всех документов, указанных в пункте 2.6 настоящего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3.2.8. ОМСУ/Организация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ОМСУ/Организацией.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3.3.1. В случае если в выданных в результате предоставления муниципальной услуги документах допущены опечатки и ошибки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 необходимости исправления допущенных опечаток и(или) ошибок.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4. Формы контроля за исполнением административного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регламента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4.1. Порядок осуществле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регламентом содержанием действий и сроками их осуществления, а также путем проведения руководителем (заместителем руководителя, начальником Комитете/Отдела/Сектора) ОМСУ проверок исполнения положений настоящего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По ре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п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Работники ОМСУ/Организации при предоставлении муниципальной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установленном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и действий (бездействия) органа, предоставляющего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муниципальную услугу, а также должностных лиц органа,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предоставляющего муниципальную услугу, либо муниципальных служащих,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многофункционального центра предоставления государственных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и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предоставляющего муниципальную услугу, либо муниципального служащего, многофункционального центра, работника многофункционального центра, в том числе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N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5) отказ в пред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7) отказ органа, предоставляющего муниципаль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9) приостановление предоставления муниципальной услуги, если осн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5.3. Жалоба под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наименование органа, предоставляющего муници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фамилия, имя, отчество (последнее –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5.6. Жалоба,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6. Особенности выполнения административных процедур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в многофункциональных центрах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«МФЦ» при наличии вступившего в силу соглашения о взаимодействии между ГБУ ЛО «МФЦ» и ОМСУ/Организацией.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6.2. В случае подачи документов в ОМСУ/Организацию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б) определяет предмет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д) осуществляет ска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е) заверяет каждый документ дела своей электронной подписью (далее – ЭП);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ж) направляет копии документов и реестр документов в ОМСУ/Организацию: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в электронной форме (в составе пакетов электронных дел) –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6.3. При установлении работником МФЦ следующих фактов несоответствия категории заявителя кругу лиц, имеющих право на получение муниципальной усл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уги, указанных в пункте 1.2 настоящего регламента, а также наличие соответствующего основания для отказа в приеме документов, указанного в пункте 2.9 настоящего регламента, специалист МФЦ выполняет в соответствии с настоящим регламентом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сообщает заявителю об отсутствии у него права на получение муниципальной  услуги;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выдает решение об отказе в приеме заявления и документов, необходимых для предоставления муниципальной услуги, по форме в соответствии с приложением 4.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6.4. При указании заявителем места получения ответа (результата предоставления му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ниципальной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течение 1 рабочего дня со дня принятия решения о предоставлении (отказе в предоставлении) муниципальной услуги заявителю.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Специалист МФЦ, ответственный за выдачу документов, полученных от ОМСУ/Организации по результатам рассмотрения представленных заявителе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м документов, не позднее двух дней с даты их получения от ОМСУ/Организации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актом, устанавливающим порядок электронного (безбумажного) документооборота в сфере государственных и муниципальных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Приложение№ 1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(ФОРМА)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48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(уполномоченный орган местного самоуправления)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о согласовании проведения ярмарки на территории 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25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Организатор ярмарки: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полное наименование юридического лица / фамилия, имя, отчество индивидуального предпринимателя;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ИНН, ОГРН (ОГРНИП);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фамилия, имя, отчество руководителя юридического лица;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юридический и фактический адрес;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телефон, e-mail.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Тип ярмарки (универсальная, специализированная)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публичной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ярмарочной площадки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в Справочной общедоступной системе ярмарочных площадок Ленинградской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(не заполняется в случае проведения ярмарки на новой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публичной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ярмарочной площадке)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(период) проведения ярмарки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Режим работы ярмарки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торговых мест на ярмарке в соответствии со схемой размещения торговых мест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Ассортимент реализуемых товаров на ярмарке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Размер платы за предоставление торговых мест/оборудования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размещения информации о плане мероприя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тий по организации ярмарки и продаже товаров (выполнению работ, оказанию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Предложение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новой ярмарочной площадке: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(не заполняется в случае проведения ярмарки на существующей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публичной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ярмарочной площадке)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Адресные ориентиры ярмарочной площадки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Возможность подключения к электросетям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Возможность осуществления торговли с автомашин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Результат рассмотрения заявления прошу: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выдать на руки при личной явке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администрацию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(ОМСУ/Организацию)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выдать на руки при личной явке в МФЦ, расположенный по адресу*: Ленинградская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Кингисеппский район, д.Фалилеево д.34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направить по электронной почте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 xml:space="preserve">fsp-07@mail.ru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направить в электронной форме в личный кабинет на Едином портале государственных и муниципальных услуг / Портале государственных и муниципальных услуг (функций) Ленинградской области***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   _____________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(должность руководителя             (подпись)                          (Ф.И.О. руководителя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юридического лица)                                                              юридического лица/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индивидуального предпринимателя)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М.П.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 20___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* адрес МФЦ указывается при подаче документов посредством ПГУ ЛО / ЕПГУ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** в случае если заявление о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предоставлении муниципальной услуги подано при личной явке в ОМСУ / Организацию, получение результата предоставления муниципальной услуги в МФЦ возможно в случае, если указанная возможность предусмотрена соглашением о взаимодействии, заключенном ОМСУ с МФЦ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*** направление результата предоставления муниципальной услуги в электронной форме в личный кабинет заявителя на ЕПГУ / ПГУ ЛО возможно только в случае подачи заявления о предоставлении муниципальной услуги посредством ЕПГУ / ПГУ ЛО; в случае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/ ПГУ ЛО возможно только после технической реализации такой возможности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(ФОРМА)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green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(на бланке ОМСУ/Организации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Наименование и адрес заявителя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green"/>
          <w:lang w:eastAsia="ar-SA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ascii="Calibri" w:hAnsi="Calibri" w:eastAsia="Times New Roman" w:cs="Times New Roman"/>
          <w:i/>
          <w:sz w:val="24"/>
          <w:szCs w:val="24"/>
          <w:lang w:eastAsia="ar-SA"/>
        </w:rPr>
      </w:pPr>
      <w:r>
        <w:rPr>
          <w:rFonts w:ascii="Calibri" w:hAnsi="Calibri" w:eastAsia="Times New Roman" w:cs="Times New Roman"/>
          <w:i/>
          <w:sz w:val="24"/>
          <w:szCs w:val="24"/>
          <w:lang w:eastAsia="ar-SA"/>
        </w:rPr>
      </w:r>
      <w:r>
        <w:rPr>
          <w:rFonts w:ascii="Calibri" w:hAnsi="Calibri" w:eastAsia="Times New Roman" w:cs="Times New Roman"/>
          <w:i/>
          <w:sz w:val="24"/>
          <w:szCs w:val="24"/>
          <w:lang w:eastAsia="ar-SA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____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_______________________ (ОМСУ/Организация) Ленинградской области, рассмотрев 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(должность руководителя)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(фамилия и инициалы руководителя)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Приложение № 3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(ФОРМА)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green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(на бланке ОМСУ/Организации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Наименование и адрес заявителя</w:t>
      </w:r>
      <w:r>
        <w:rPr>
          <w:rFonts w:ascii="Times New Roman" w:hAnsi="Times New Roman" w:eastAsia="Times New Roman" w:cs="Times New Roman"/>
          <w:i/>
          <w:sz w:val="24"/>
          <w:szCs w:val="24"/>
          <w:highlight w:val="green"/>
          <w:lang w:eastAsia="ar-SA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ascii="Calibri" w:hAnsi="Calibri" w:eastAsia="Times New Roman" w:cs="Times New Roman"/>
          <w:i/>
          <w:sz w:val="24"/>
          <w:szCs w:val="24"/>
          <w:lang w:eastAsia="ar-SA"/>
        </w:rPr>
      </w:pPr>
      <w:r>
        <w:rPr>
          <w:rFonts w:ascii="Calibri" w:hAnsi="Calibri" w:eastAsia="Times New Roman" w:cs="Times New Roman"/>
          <w:i/>
          <w:sz w:val="24"/>
          <w:szCs w:val="24"/>
          <w:lang w:eastAsia="ar-SA"/>
        </w:rPr>
      </w:r>
      <w:r>
        <w:rPr>
          <w:rFonts w:ascii="Calibri" w:hAnsi="Calibri" w:eastAsia="Times New Roman" w:cs="Times New Roman"/>
          <w:i/>
          <w:sz w:val="24"/>
          <w:szCs w:val="24"/>
          <w:lang w:eastAsia="ar-SA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об отказе в предоставлении муниципальной услуги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</w:p>
    <w:p>
      <w:pPr>
        <w:pStyle w:val="704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«</w:t>
      </w:r>
      <w:r>
        <w:rPr>
          <w:rFonts w:ascii="Times New Roman" w:hAnsi="Times New Roman" w:cs="Times New Roman"/>
          <w:b/>
          <w:lang w:eastAsia="ar-SA"/>
        </w:rPr>
        <w:t xml:space="preserve">Согласование проведения ярмарки на публичной ярмарочной площадке на территории</w:t>
      </w:r>
      <w:r>
        <w:rPr>
          <w:rFonts w:ascii="Times New Roman" w:hAnsi="Times New Roman" w:cs="Times New Roman"/>
          <w:b/>
          <w:lang w:eastAsia="ar-SA"/>
        </w:rPr>
      </w:r>
    </w:p>
    <w:p>
      <w:pPr>
        <w:pStyle w:val="704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b/>
          <w:lang w:eastAsia="ar-SA"/>
        </w:rPr>
      </w:r>
    </w:p>
    <w:p>
      <w:pPr>
        <w:pStyle w:val="704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МО «Кингисеппский муниципальный район» Ленинградской области</w:t>
      </w:r>
      <w:r>
        <w:rPr>
          <w:rFonts w:ascii="Times New Roman" w:hAnsi="Times New Roman" w:cs="Times New Roman"/>
          <w:b/>
          <w:lang w:eastAsia="ar-SA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(указываются мотивированные причины отказа)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_______________________.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highlight w:val="green"/>
          <w:lang w:eastAsia="ar-SA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(должность руководителя)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  <w:t xml:space="preserve">(фамилия и инициалы руководителя)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ar-SA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Приложение № 4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(ФОРМА)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5"/>
        <w:gridCol w:w="707"/>
        <w:gridCol w:w="527"/>
        <w:gridCol w:w="50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(Ф.И.О. физического лица и адрес проживания / наименование организации и ИНН)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(Ф.И.О. представителя заявителя и реквизиты доверенности)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Контактная информация: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тел.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auto" w:sz="0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эл. почта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6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/>
            <w:bookmarkStart w:id="1" w:name="P708"/>
            <w:r/>
            <w:bookmarkEnd w:id="1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 отказе в приеме заявления и документов,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Настоящим подтверждается, что при приеме документов, необходимых для предоставления муниципальной услуги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Согласование проведения ярмарки на публичной ярмарочной площадке на территории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МО «Фалилеевское сельское поселение» МО «Кингисеппский муниципальный район» Ленинградской области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были выявлены следующие основания для отказа в приеме документов: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(указываются основания для отказа в приеме документов, предусмотренные пунктом 2.9 административного регламента)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Для получения муниципальной услуги заявителю необходимо представить следующие документы: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(указывается перечень документов в случае, если основанием для отказа является представление неполного комплекта документов)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2835"/>
        <w:gridCol w:w="233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(должностное лицо (специалист МФЦ)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(инициалы, фамилия)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(дата)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2899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Подпись заявителя, подтверждающая получение решения об отказе в приеме документов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(Ф.И.О. заявителя/представителя заявителя)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(дата)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</w:r>
    </w:p>
    <w:p>
      <w:pPr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851" w:right="567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86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96"/>
    <w:uiPriority w:val="99"/>
  </w:style>
  <w:style w:type="character" w:styleId="45">
    <w:name w:val="Footer Char"/>
    <w:basedOn w:val="679"/>
    <w:link w:val="698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2"/>
    <w:basedOn w:val="677"/>
    <w:next w:val="677"/>
    <w:link w:val="695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ConsPlusNormal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683">
    <w:name w:val="List Paragraph"/>
    <w:basedOn w:val="677"/>
    <w:uiPriority w:val="34"/>
    <w:qFormat/>
    <w:pPr>
      <w:contextualSpacing/>
      <w:ind w:left="720"/>
    </w:pPr>
  </w:style>
  <w:style w:type="table" w:styleId="684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5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86">
    <w:name w:val="Title"/>
    <w:basedOn w:val="677"/>
    <w:next w:val="67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Название Знак"/>
    <w:basedOn w:val="679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>
    <w:name w:val="annotation reference"/>
    <w:basedOn w:val="679"/>
    <w:uiPriority w:val="99"/>
    <w:semiHidden/>
    <w:unhideWhenUsed/>
    <w:rPr>
      <w:sz w:val="16"/>
      <w:szCs w:val="16"/>
    </w:rPr>
  </w:style>
  <w:style w:type="paragraph" w:styleId="689">
    <w:name w:val="annotation text"/>
    <w:basedOn w:val="677"/>
    <w:link w:val="6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0" w:customStyle="1">
    <w:name w:val="Текст примечания Знак"/>
    <w:basedOn w:val="679"/>
    <w:link w:val="689"/>
    <w:uiPriority w:val="99"/>
    <w:semiHidden/>
    <w:rPr>
      <w:sz w:val="20"/>
      <w:szCs w:val="20"/>
    </w:rPr>
  </w:style>
  <w:style w:type="paragraph" w:styleId="691">
    <w:name w:val="annotation subject"/>
    <w:basedOn w:val="689"/>
    <w:next w:val="689"/>
    <w:link w:val="692"/>
    <w:uiPriority w:val="99"/>
    <w:semiHidden/>
    <w:unhideWhenUsed/>
    <w:rPr>
      <w:b/>
      <w:bCs/>
    </w:rPr>
  </w:style>
  <w:style w:type="character" w:styleId="692" w:customStyle="1">
    <w:name w:val="Тема примечания Знак"/>
    <w:basedOn w:val="690"/>
    <w:link w:val="691"/>
    <w:uiPriority w:val="99"/>
    <w:semiHidden/>
    <w:rPr>
      <w:b/>
      <w:bCs/>
      <w:sz w:val="20"/>
      <w:szCs w:val="20"/>
    </w:rPr>
  </w:style>
  <w:style w:type="paragraph" w:styleId="693">
    <w:name w:val="Balloon Text"/>
    <w:basedOn w:val="677"/>
    <w:link w:val="6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4" w:customStyle="1">
    <w:name w:val="Текст выноски Знак"/>
    <w:basedOn w:val="679"/>
    <w:link w:val="693"/>
    <w:uiPriority w:val="99"/>
    <w:semiHidden/>
    <w:rPr>
      <w:rFonts w:ascii="Tahoma" w:hAnsi="Tahoma" w:cs="Tahoma"/>
      <w:sz w:val="16"/>
      <w:szCs w:val="16"/>
    </w:rPr>
  </w:style>
  <w:style w:type="character" w:styleId="695" w:customStyle="1">
    <w:name w:val="Заголовок 2 Знак"/>
    <w:basedOn w:val="679"/>
    <w:link w:val="678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96">
    <w:name w:val="Header"/>
    <w:basedOn w:val="677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79"/>
    <w:link w:val="696"/>
    <w:uiPriority w:val="99"/>
  </w:style>
  <w:style w:type="paragraph" w:styleId="698">
    <w:name w:val="Footer"/>
    <w:basedOn w:val="677"/>
    <w:link w:val="6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79"/>
    <w:link w:val="698"/>
    <w:uiPriority w:val="99"/>
  </w:style>
  <w:style w:type="paragraph" w:styleId="700">
    <w:name w:val="Normal (Web)"/>
    <w:basedOn w:val="677"/>
    <w:unhideWhenUsed/>
    <w:rPr>
      <w:rFonts w:ascii="Times New Roman" w:hAnsi="Times New Roman" w:cs="Times New Roman"/>
      <w:sz w:val="24"/>
      <w:szCs w:val="24"/>
    </w:rPr>
  </w:style>
  <w:style w:type="numbering" w:styleId="701" w:customStyle="1">
    <w:name w:val="Нет списка1"/>
    <w:next w:val="681"/>
    <w:uiPriority w:val="99"/>
    <w:semiHidden/>
    <w:unhideWhenUsed/>
  </w:style>
  <w:style w:type="paragraph" w:styleId="70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3" w:customStyle="1">
    <w:name w:val="Название проектного документа"/>
    <w:basedOn w:val="677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paragraph" w:styleId="70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68F5-62BD-4766-9478-0DC6DD5D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3</cp:revision>
  <dcterms:created xsi:type="dcterms:W3CDTF">2022-12-30T06:41:00Z</dcterms:created>
  <dcterms:modified xsi:type="dcterms:W3CDTF">2025-04-21T14:45:02Z</dcterms:modified>
</cp:coreProperties>
</file>